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A0A04" w:rsidRDefault="00893436" w:rsidP="00893436">
      <w:pPr>
        <w:widowControl/>
        <w:jc w:val="center"/>
        <w:rPr>
          <w:rFonts w:asciiTheme="minorEastAsia" w:eastAsiaTheme="minorEastAsia" w:hAnsiTheme="minorEastAsia" w:cs="宋体"/>
          <w:b/>
          <w:kern w:val="0"/>
          <w:sz w:val="30"/>
          <w:szCs w:val="30"/>
        </w:rPr>
      </w:pPr>
      <w:r w:rsidRPr="005A0A04">
        <w:rPr>
          <w:rFonts w:asciiTheme="minorEastAsia" w:eastAsiaTheme="minorEastAsia" w:hAnsiTheme="minorEastAsia" w:cs="宋体" w:hint="eastAsia"/>
          <w:b/>
          <w:kern w:val="0"/>
          <w:sz w:val="30"/>
          <w:szCs w:val="30"/>
        </w:rPr>
        <w:t>广发景和中短债债券型证券投资基金分红公告</w:t>
      </w:r>
    </w:p>
    <w:p w:rsidR="00893436" w:rsidRPr="006F346A" w:rsidRDefault="00893436" w:rsidP="006F346A">
      <w:pPr>
        <w:jc w:val="center"/>
        <w:rPr>
          <w:rFonts w:asciiTheme="minorEastAsia" w:eastAsiaTheme="minorEastAsia" w:hAnsiTheme="minorEastAsia"/>
          <w:color w:val="000000"/>
          <w:sz w:val="24"/>
          <w:szCs w:val="24"/>
        </w:rPr>
      </w:pPr>
      <w:r w:rsidRPr="006F346A">
        <w:rPr>
          <w:rFonts w:asciiTheme="minorEastAsia" w:eastAsiaTheme="minorEastAsia" w:hAnsiTheme="minorEastAsia"/>
          <w:color w:val="000000"/>
          <w:sz w:val="24"/>
          <w:szCs w:val="24"/>
        </w:rPr>
        <w:t>公告送出日期：2024年4月11日</w:t>
      </w:r>
    </w:p>
    <w:p w:rsidR="00893436" w:rsidRPr="00163C8E" w:rsidRDefault="00893436" w:rsidP="00893436">
      <w:pPr>
        <w:spacing w:line="560" w:lineRule="exact"/>
        <w:jc w:val="center"/>
        <w:rPr>
          <w:rFonts w:asciiTheme="minorEastAsia" w:eastAsiaTheme="minorEastAsia" w:hAnsiTheme="minorEastAsia"/>
          <w:color w:val="000000"/>
          <w:sz w:val="24"/>
        </w:rPr>
      </w:pP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0" w:name="_Toc275961418"/>
      <w:r w:rsidRPr="00163C8E">
        <w:rPr>
          <w:rFonts w:asciiTheme="minorEastAsia" w:eastAsiaTheme="minorEastAsia" w:hAnsiTheme="minorEastAsia"/>
          <w:bCs w:val="0"/>
          <w:color w:val="000000"/>
          <w:sz w:val="24"/>
          <w:szCs w:val="24"/>
        </w:rPr>
        <w:t>1</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28"/>
        <w:gridCol w:w="1928"/>
        <w:gridCol w:w="1928"/>
        <w:gridCol w:w="1928"/>
      </w:tblGrid>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广发景和中短债债券型证券投资基金</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基金简称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广发景和中短债</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基金主代码</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006870</w:t>
            </w:r>
          </w:p>
        </w:tc>
      </w:tr>
      <w:tr w:rsidR="0039192C" w:rsidRPr="00163C8E" w:rsidTr="00B53CF8">
        <w:trPr>
          <w:jc w:val="center"/>
        </w:trPr>
        <w:tc>
          <w:tcPr>
            <w:tcW w:w="3855" w:type="dxa"/>
            <w:gridSpan w:val="2"/>
            <w:vAlign w:val="center"/>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基金合同生效日</w:t>
            </w:r>
          </w:p>
        </w:tc>
        <w:tc>
          <w:tcPr>
            <w:tcW w:w="5784" w:type="dxa"/>
            <w:gridSpan w:val="3"/>
            <w:vAlign w:val="center"/>
          </w:tcPr>
          <w:p w:rsidR="0039192C" w:rsidRPr="00163C8E" w:rsidRDefault="003E51F2"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2019年3月14日</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基金管理人名称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广发基金管理有限公司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基金托管人名称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中国银行股份有限公司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公告依据</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《中华人民共和国证券投资基金法》及其配套法规、《广发景和中短债债券型证券投资基金基金合同》《广发景和中短债债券型证券投资基金招募说明书》</w:t>
            </w:r>
          </w:p>
        </w:tc>
      </w:tr>
      <w:tr w:rsidR="00893436" w:rsidRPr="00163C8E" w:rsidTr="00B53CF8">
        <w:trPr>
          <w:jc w:val="center"/>
        </w:trPr>
        <w:tc>
          <w:tcPr>
            <w:tcW w:w="3855" w:type="dxa"/>
            <w:gridSpan w:val="2"/>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收益分配基准日</w:t>
            </w:r>
          </w:p>
        </w:tc>
        <w:tc>
          <w:tcPr>
            <w:tcW w:w="5784" w:type="dxa"/>
            <w:gridSpan w:val="3"/>
          </w:tcPr>
          <w:p w:rsidR="00893436"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2024年3月31日</w:t>
            </w:r>
          </w:p>
        </w:tc>
      </w:tr>
      <w:tr w:rsidR="00893436" w:rsidRPr="00163C8E" w:rsidTr="00B53CF8">
        <w:trPr>
          <w:jc w:val="center"/>
        </w:trPr>
        <w:tc>
          <w:tcPr>
            <w:tcW w:w="3855" w:type="dxa"/>
            <w:gridSpan w:val="2"/>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有关年度分红次数的说明</w:t>
            </w:r>
          </w:p>
        </w:tc>
        <w:tc>
          <w:tcPr>
            <w:tcW w:w="5784" w:type="dxa"/>
            <w:gridSpan w:val="3"/>
            <w:vAlign w:val="center"/>
          </w:tcPr>
          <w:p w:rsidR="00893436" w:rsidRPr="00163C8E" w:rsidRDefault="009732A4"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本次分红为2024年度的第1次分红</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下属分级基金的基金简称</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广发景和中短债A</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广发景和中短债C</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广发景和中短债D</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下属分级基金的交易代码</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006870</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006871</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020580</w:t>
            </w:r>
          </w:p>
        </w:tc>
      </w:tr>
      <w:tr w:rsidR="00B53CF8" w:rsidRPr="00163C8E" w:rsidTr="00B53CF8">
        <w:trPr>
          <w:jc w:val="center"/>
        </w:trPr>
        <w:tc>
          <w:tcPr>
            <w:tcW w:w="1927" w:type="dxa"/>
            <w:vMerge w:val="restart"/>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截止基准日下属分级基金的相关指标</w:t>
            </w:r>
          </w:p>
        </w:tc>
        <w:tc>
          <w:tcPr>
            <w:tcW w:w="1928" w:type="dxa"/>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基准日下属分级基金份额净值（单位：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1.0442</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1.0433</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1.0443</w:t>
            </w:r>
          </w:p>
        </w:tc>
      </w:tr>
      <w:tr w:rsidR="00B53CF8" w:rsidRPr="00163C8E" w:rsidTr="00B53CF8">
        <w:trPr>
          <w:trHeight w:val="405"/>
          <w:jc w:val="center"/>
        </w:trPr>
        <w:tc>
          <w:tcPr>
            <w:tcW w:w="1927" w:type="dxa"/>
            <w:vMerge/>
          </w:tcPr>
          <w:p w:rsidR="00B53CF8" w:rsidRPr="00163C8E" w:rsidRDefault="00B53CF8" w:rsidP="0045170D">
            <w:pPr>
              <w:rPr>
                <w:rFonts w:asciiTheme="minorEastAsia" w:eastAsiaTheme="minorEastAsia" w:hAnsiTheme="minorEastAsia"/>
                <w:color w:val="000000"/>
                <w:sz w:val="24"/>
                <w:szCs w:val="24"/>
              </w:rPr>
            </w:pPr>
          </w:p>
        </w:tc>
        <w:tc>
          <w:tcPr>
            <w:tcW w:w="1928" w:type="dxa"/>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基准日下属分级基金可供分配利润（单位：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29,050,982.39</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10,825,717.30</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1,004,655.89</w:t>
            </w:r>
          </w:p>
        </w:tc>
      </w:tr>
      <w:tr w:rsidR="001D3B01">
        <w:trPr>
          <w:jc w:val="center"/>
        </w:trPr>
        <w:tc>
          <w:tcPr>
            <w:tcW w:w="1927" w:type="dxa"/>
            <w:vMerge/>
          </w:tcPr>
          <w:p w:rsidR="001D3B01" w:rsidRDefault="001D3B01"/>
        </w:tc>
        <w:tc>
          <w:tcPr>
            <w:tcW w:w="1928" w:type="dxa"/>
            <w:vAlign w:val="center"/>
          </w:tcPr>
          <w:p w:rsidR="001D3B01" w:rsidRDefault="00503C3D">
            <w:pPr>
              <w:jc w:val="left"/>
            </w:pPr>
            <w:r>
              <w:rPr>
                <w:rFonts w:asciiTheme="minorEastAsia" w:eastAsiaTheme="minorEastAsia" w:hAnsiTheme="minorEastAsia"/>
                <w:sz w:val="24"/>
                <w:szCs w:val="24"/>
              </w:rPr>
              <w:t>截止基准日按照基金合同约定的</w:t>
            </w:r>
            <w:r>
              <w:rPr>
                <w:rFonts w:asciiTheme="minorEastAsia" w:eastAsiaTheme="minorEastAsia" w:hAnsiTheme="minorEastAsia"/>
                <w:sz w:val="24"/>
                <w:szCs w:val="24"/>
              </w:rPr>
              <w:lastRenderedPageBreak/>
              <w:t>分红比例计算的应分配金额（单位：元）</w:t>
            </w:r>
          </w:p>
        </w:tc>
        <w:tc>
          <w:tcPr>
            <w:tcW w:w="1928" w:type="dxa"/>
            <w:vAlign w:val="center"/>
          </w:tcPr>
          <w:p w:rsidR="001D3B01" w:rsidRDefault="00503C3D">
            <w:pPr>
              <w:jc w:val="left"/>
            </w:pPr>
            <w:r>
              <w:rPr>
                <w:rFonts w:asciiTheme="minorEastAsia" w:eastAsiaTheme="minorEastAsia" w:hAnsiTheme="minorEastAsia"/>
                <w:sz w:val="24"/>
                <w:szCs w:val="24"/>
              </w:rPr>
              <w:lastRenderedPageBreak/>
              <w:t>2,905,098.24</w:t>
            </w:r>
          </w:p>
        </w:tc>
        <w:tc>
          <w:tcPr>
            <w:tcW w:w="1928" w:type="dxa"/>
            <w:vAlign w:val="center"/>
          </w:tcPr>
          <w:p w:rsidR="001D3B01" w:rsidRDefault="00503C3D">
            <w:pPr>
              <w:jc w:val="left"/>
            </w:pPr>
            <w:r>
              <w:rPr>
                <w:rFonts w:asciiTheme="minorEastAsia" w:eastAsiaTheme="minorEastAsia" w:hAnsiTheme="minorEastAsia"/>
                <w:sz w:val="24"/>
                <w:szCs w:val="24"/>
              </w:rPr>
              <w:t>1,082,571.73</w:t>
            </w:r>
          </w:p>
        </w:tc>
        <w:tc>
          <w:tcPr>
            <w:tcW w:w="1928" w:type="dxa"/>
            <w:vAlign w:val="center"/>
          </w:tcPr>
          <w:p w:rsidR="001D3B01" w:rsidRDefault="00503C3D">
            <w:pPr>
              <w:jc w:val="left"/>
            </w:pPr>
            <w:r>
              <w:rPr>
                <w:rFonts w:asciiTheme="minorEastAsia" w:eastAsiaTheme="minorEastAsia" w:hAnsiTheme="minorEastAsia"/>
                <w:sz w:val="24"/>
                <w:szCs w:val="24"/>
              </w:rPr>
              <w:t>100,465.59</w:t>
            </w:r>
          </w:p>
        </w:tc>
      </w:tr>
      <w:tr w:rsidR="004F17E3" w:rsidRPr="00163C8E" w:rsidTr="00EB157C">
        <w:trPr>
          <w:jc w:val="center"/>
        </w:trPr>
        <w:tc>
          <w:tcPr>
            <w:tcW w:w="3855" w:type="dxa"/>
            <w:gridSpan w:val="2"/>
          </w:tcPr>
          <w:p w:rsidR="004F17E3" w:rsidRPr="00163C8E" w:rsidRDefault="004F17E3" w:rsidP="00EB157C">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lastRenderedPageBreak/>
              <w:t>本次下属分级基金分红方案（单位：元/10份基金份额）</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0.035</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0.035</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sz w:val="24"/>
                <w:szCs w:val="24"/>
              </w:rPr>
              <w:t>0.035</w:t>
            </w:r>
          </w:p>
        </w:tc>
      </w:tr>
    </w:tbl>
    <w:p w:rsidR="00893436" w:rsidRPr="00163C8E" w:rsidRDefault="00F45E48" w:rsidP="002C6F7A">
      <w:pPr>
        <w:rPr>
          <w:rFonts w:asciiTheme="minorEastAsia" w:eastAsiaTheme="minorEastAsia" w:hAnsiTheme="minorEastAsia"/>
          <w:sz w:val="24"/>
          <w:szCs w:val="24"/>
        </w:rPr>
      </w:pPr>
      <w:r w:rsidRPr="00163C8E">
        <w:rPr>
          <w:rFonts w:asciiTheme="minorEastAsia" w:eastAsiaTheme="minorEastAsia" w:hAnsiTheme="minorEastAsia"/>
          <w:sz w:val="24"/>
          <w:szCs w:val="24"/>
        </w:rPr>
        <w:t>注：根据本基金合同约定，在符合有关基金分红条件的前提下，本基金每季度至少进行一次收益分配，本基金每年收益分配次数最多为12次，每次收益分配比例不得低于收益分配基准日可供分配利润的10%。</w:t>
      </w: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1" w:name="_Toc275961419"/>
      <w:r w:rsidRPr="00163C8E">
        <w:rPr>
          <w:rFonts w:asciiTheme="minorEastAsia" w:eastAsiaTheme="minorEastAsia" w:hAnsiTheme="minorEastAsia"/>
          <w:bCs w:val="0"/>
          <w:color w:val="000000"/>
          <w:sz w:val="24"/>
          <w:szCs w:val="24"/>
        </w:rPr>
        <w:t>2</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3"/>
        <w:gridCol w:w="1"/>
        <w:gridCol w:w="6425"/>
      </w:tblGrid>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权益登记日</w:t>
            </w:r>
          </w:p>
        </w:tc>
        <w:tc>
          <w:tcPr>
            <w:tcW w:w="6426" w:type="dxa"/>
            <w:gridSpan w:val="2"/>
          </w:tcPr>
          <w:p w:rsidR="00893436" w:rsidRPr="00163C8E" w:rsidRDefault="00D249B9" w:rsidP="0045170D">
            <w:pP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2024年4月12日</w:t>
            </w:r>
          </w:p>
        </w:tc>
      </w:tr>
      <w:tr w:rsidR="00E079C7" w:rsidRPr="00163C8E" w:rsidTr="00E079C7">
        <w:trPr>
          <w:jc w:val="center"/>
        </w:trPr>
        <w:tc>
          <w:tcPr>
            <w:tcW w:w="3213" w:type="dxa"/>
          </w:tcPr>
          <w:p w:rsidR="00E079C7" w:rsidRPr="00163C8E" w:rsidRDefault="00E079C7" w:rsidP="00E079C7">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除息日</w:t>
            </w:r>
          </w:p>
        </w:tc>
        <w:tc>
          <w:tcPr>
            <w:tcW w:w="3213" w:type="dxa"/>
            <w:hMerge w:val="restart"/>
          </w:tcPr>
          <w:p w:rsidR="00E079C7" w:rsidRPr="00163C8E" w:rsidRDefault="00E079C7" w:rsidP="00E079C7">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c>
          <w:tcPr>
            <w:tcW w:w="3213" w:type="dxa"/>
            <w:hMerge/>
          </w:tcPr>
          <w:p w:rsidR="00E079C7" w:rsidRPr="00163C8E" w:rsidRDefault="00E079C7" w:rsidP="00E079C7">
            <w:pPr>
              <w:rPr>
                <w:rFonts w:asciiTheme="minorEastAsia" w:eastAsiaTheme="minorEastAsia" w:hAnsiTheme="minorEastAsia"/>
                <w:sz w:val="24"/>
                <w:szCs w:val="24"/>
              </w:rPr>
            </w:pPr>
            <w:bookmarkStart w:id="2" w:name="_GoBack"/>
            <w:bookmarkEnd w:id="2"/>
            <w:r w:rsidRPr="00890BE3">
              <w:rPr>
                <w:rFonts w:asciiTheme="minorEastAsia" w:eastAsiaTheme="minorEastAsia" w:hAnsiTheme="minorEastAsia"/>
                <w:sz w:val="24"/>
                <w:szCs w:val="24"/>
              </w:rPr>
              <w:t>2024年4月12日（场外）</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现金红利发放日</w:t>
            </w:r>
          </w:p>
        </w:tc>
        <w:tc>
          <w:tcPr>
            <w:tcW w:w="6426" w:type="dxa"/>
            <w:gridSpan w:val="2"/>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2024年4月15日</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分红对象</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权益登记日在本公司登记在册的本基金份额的全体持有人</w:t>
            </w:r>
          </w:p>
        </w:tc>
      </w:tr>
      <w:tr w:rsidR="00893436" w:rsidRPr="00163C8E" w:rsidTr="00E079C7">
        <w:trPr>
          <w:jc w:val="center"/>
        </w:trPr>
        <w:tc>
          <w:tcPr>
            <w:tcW w:w="3213" w:type="dxa"/>
            <w:shd w:val="clear" w:color="auto" w:fill="auto"/>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红利再投资相关事项的说明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选择红利再投资方式的投资者由红利转得的基金份额将以2024年4月12日的基金份额净值为计算基准确定。2024年4月16日起投资者可以查询。</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税收相关事项的说明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根据相关法律法规规定，基金向投资者分配的基金收益，暂免征收所得税。</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费用相关事项的说明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本基金本次分红免收分红手续费。</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3" w:name="_Toc275961420"/>
      <w:r w:rsidRPr="00163C8E">
        <w:rPr>
          <w:rFonts w:asciiTheme="minorEastAsia" w:eastAsiaTheme="minorEastAsia" w:hAnsiTheme="minorEastAsia"/>
          <w:bCs w:val="0"/>
          <w:color w:val="000000"/>
          <w:sz w:val="24"/>
          <w:szCs w:val="24"/>
        </w:rPr>
        <w:t>3</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其他需要提示的事项</w:t>
      </w:r>
      <w:bookmarkEnd w:id="3"/>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）对于未选择具体分红方式的投资者，本基金默认的分红方式为现金分红。</w:t>
      </w:r>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4</w:t>
      </w:r>
      <w:r>
        <w:rPr>
          <w:rFonts w:asciiTheme="minorEastAsia" w:eastAsiaTheme="minorEastAsia" w:hAnsiTheme="minorEastAsia"/>
          <w:sz w:val="24"/>
          <w:szCs w:val="24"/>
        </w:rPr>
        <w:t>月</w:t>
      </w:r>
      <w:r>
        <w:rPr>
          <w:rFonts w:asciiTheme="minorEastAsia" w:eastAsiaTheme="minorEastAsia" w:hAnsiTheme="minorEastAsia"/>
          <w:sz w:val="24"/>
          <w:szCs w:val="24"/>
        </w:rPr>
        <w:t>12</w:t>
      </w:r>
      <w:r>
        <w:rPr>
          <w:rFonts w:asciiTheme="minorEastAsia" w:eastAsiaTheme="minorEastAsia" w:hAnsiTheme="minorEastAsia"/>
          <w:sz w:val="24"/>
          <w:szCs w:val="24"/>
        </w:rPr>
        <w:t>日）最后一次选择的分红方式为准。请投资者到销售网点或通过本公司客户服务电话</w:t>
      </w:r>
      <w:r>
        <w:rPr>
          <w:rFonts w:asciiTheme="minorEastAsia" w:eastAsiaTheme="minorEastAsia" w:hAnsiTheme="minorEastAsia"/>
          <w:sz w:val="24"/>
          <w:szCs w:val="24"/>
        </w:rPr>
        <w:lastRenderedPageBreak/>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确认分红方式是否正确，如不正确或希望修改分红方式的，请务必在规定时间前到销售网点办理变更手续。</w:t>
      </w:r>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）投资者通过某一销售机构指定交易账户按基金代码提交的分红方式变更申请，只对投资者在该销售机构指定交易账户下的基金份额有效，并不改变投资者在该销售机构其他交易账户或其他</w:t>
      </w:r>
      <w:r>
        <w:rPr>
          <w:rFonts w:asciiTheme="minorEastAsia" w:eastAsiaTheme="minorEastAsia" w:hAnsiTheme="minorEastAsia"/>
          <w:sz w:val="24"/>
          <w:szCs w:val="24"/>
        </w:rPr>
        <w:t>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）建议基金份额持有人在修改分红方式后，在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1D3B01" w:rsidRDefault="00503C3D">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w:t>
      </w:r>
      <w:r>
        <w:rPr>
          <w:rFonts w:asciiTheme="minorEastAsia" w:eastAsiaTheme="minorEastAsia" w:hAnsiTheme="minorEastAsia"/>
          <w:sz w:val="24"/>
          <w:szCs w:val="24"/>
        </w:rPr>
        <w:t>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w:t>
      </w:r>
      <w:r>
        <w:rPr>
          <w:rFonts w:asciiTheme="minorEastAsia" w:eastAsiaTheme="minorEastAsia" w:hAnsiTheme="minorEastAsia"/>
          <w:sz w:val="24"/>
          <w:szCs w:val="24"/>
        </w:rPr>
        <w:t>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9C1EEE">
      <w:pPr>
        <w:ind w:firstLineChars="200" w:firstLine="480"/>
        <w:rPr>
          <w:rFonts w:asciiTheme="minorEastAsia" w:eastAsiaTheme="minorEastAsia" w:hAnsiTheme="minorEastAsia"/>
          <w:sz w:val="24"/>
          <w:szCs w:val="24"/>
        </w:rPr>
      </w:pPr>
      <w:r w:rsidRPr="00163C8E">
        <w:rPr>
          <w:rFonts w:asciiTheme="minorEastAsia" w:eastAsiaTheme="minorEastAsia" w:hAnsiTheme="minorEastAsia"/>
          <w:sz w:val="24"/>
          <w:szCs w:val="24"/>
        </w:rPr>
        <w:t>特此公告。</w:t>
      </w:r>
    </w:p>
    <w:p w:rsidR="00D42971" w:rsidRDefault="00D42971" w:rsidP="00B62BBC">
      <w:pPr>
        <w:ind w:firstLineChars="200" w:firstLine="480"/>
        <w:rPr>
          <w:rFonts w:asciiTheme="minorEastAsia" w:eastAsiaTheme="minorEastAsia" w:hAnsiTheme="minorEastAsia"/>
          <w:sz w:val="24"/>
          <w:szCs w:val="24"/>
        </w:rPr>
      </w:pPr>
    </w:p>
    <w:p w:rsidR="00D42971" w:rsidRDefault="00D42971" w:rsidP="00B62BBC">
      <w:pPr>
        <w:ind w:firstLineChars="200" w:firstLine="480"/>
        <w:rPr>
          <w:rFonts w:asciiTheme="minorEastAsia" w:eastAsiaTheme="minorEastAsia" w:hAnsiTheme="minorEastAsia"/>
          <w:sz w:val="24"/>
          <w:szCs w:val="24"/>
        </w:rPr>
      </w:pPr>
    </w:p>
    <w:p w:rsidR="00D42971" w:rsidRPr="006B3988" w:rsidRDefault="00D42971" w:rsidP="00D42971">
      <w:pPr>
        <w:jc w:val="right"/>
        <w:rPr>
          <w:rFonts w:asciiTheme="minorEastAsia" w:eastAsiaTheme="minorEastAsia" w:hAnsiTheme="minorEastAsia"/>
          <w:bCs/>
          <w:color w:val="000000" w:themeColor="text1"/>
          <w:sz w:val="24"/>
          <w:szCs w:val="24"/>
        </w:rPr>
      </w:pPr>
      <w:r w:rsidRPr="006B3988">
        <w:rPr>
          <w:rFonts w:asciiTheme="minorEastAsia" w:eastAsiaTheme="minorEastAsia" w:hAnsiTheme="minorEastAsia"/>
          <w:bCs/>
          <w:color w:val="000000" w:themeColor="text1"/>
          <w:sz w:val="24"/>
          <w:szCs w:val="24"/>
        </w:rPr>
        <w:t>广发基金管理有限公司</w:t>
      </w:r>
    </w:p>
    <w:p w:rsidR="00D42971" w:rsidRPr="006B3988" w:rsidRDefault="00D42971" w:rsidP="00D42971">
      <w:pPr>
        <w:jc w:val="right"/>
        <w:rPr>
          <w:rFonts w:asciiTheme="minorEastAsia" w:eastAsiaTheme="minorEastAsia" w:hAnsiTheme="minorEastAsia"/>
          <w:color w:val="000000"/>
          <w:sz w:val="24"/>
          <w:szCs w:val="24"/>
        </w:rPr>
      </w:pPr>
      <w:r w:rsidRPr="006B3988">
        <w:rPr>
          <w:rFonts w:asciiTheme="minorEastAsia" w:eastAsiaTheme="minorEastAsia" w:hAnsiTheme="minorEastAsia"/>
          <w:bCs/>
          <w:color w:val="000000" w:themeColor="text1"/>
          <w:sz w:val="24"/>
          <w:szCs w:val="24"/>
        </w:rPr>
        <w:t>2024年4月11日</w:t>
      </w:r>
    </w:p>
    <w:sectPr w:rsidR="00D42971" w:rsidRPr="006B398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12" w:rsidRDefault="002E6612" w:rsidP="00893436">
      <w:r>
        <w:separator/>
      </w:r>
    </w:p>
  </w:endnote>
  <w:endnote w:type="continuationSeparator" w:id="0">
    <w:p w:rsidR="002E6612" w:rsidRDefault="002E661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12" w:rsidRDefault="002E6612" w:rsidP="00893436">
      <w:r>
        <w:separator/>
      </w:r>
    </w:p>
  </w:footnote>
  <w:footnote w:type="continuationSeparator" w:id="0">
    <w:p w:rsidR="002E6612" w:rsidRDefault="002E661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87A"/>
    <w:rsid w:val="00034E9D"/>
    <w:rsid w:val="00041353"/>
    <w:rsid w:val="00050B9B"/>
    <w:rsid w:val="00057AC1"/>
    <w:rsid w:val="00085F5C"/>
    <w:rsid w:val="0009778C"/>
    <w:rsid w:val="000A19B2"/>
    <w:rsid w:val="000A27C1"/>
    <w:rsid w:val="000C39F6"/>
    <w:rsid w:val="000D591B"/>
    <w:rsid w:val="00111BD0"/>
    <w:rsid w:val="00135CA1"/>
    <w:rsid w:val="0016074B"/>
    <w:rsid w:val="00163C8E"/>
    <w:rsid w:val="001902DB"/>
    <w:rsid w:val="001D3B01"/>
    <w:rsid w:val="001E527A"/>
    <w:rsid w:val="001F1299"/>
    <w:rsid w:val="00226206"/>
    <w:rsid w:val="00242E4D"/>
    <w:rsid w:val="00284B1B"/>
    <w:rsid w:val="002971E2"/>
    <w:rsid w:val="002A63B7"/>
    <w:rsid w:val="002C6F7A"/>
    <w:rsid w:val="002E6612"/>
    <w:rsid w:val="003160F8"/>
    <w:rsid w:val="00345749"/>
    <w:rsid w:val="00362297"/>
    <w:rsid w:val="00363C21"/>
    <w:rsid w:val="00384E8B"/>
    <w:rsid w:val="0039192C"/>
    <w:rsid w:val="003C1DC1"/>
    <w:rsid w:val="003E51F2"/>
    <w:rsid w:val="003F244E"/>
    <w:rsid w:val="00410642"/>
    <w:rsid w:val="0041308C"/>
    <w:rsid w:val="00413675"/>
    <w:rsid w:val="0045170D"/>
    <w:rsid w:val="00471130"/>
    <w:rsid w:val="00486934"/>
    <w:rsid w:val="004966BA"/>
    <w:rsid w:val="004B608B"/>
    <w:rsid w:val="004D6DAF"/>
    <w:rsid w:val="004F17E3"/>
    <w:rsid w:val="0050279B"/>
    <w:rsid w:val="00503C3D"/>
    <w:rsid w:val="00506E3A"/>
    <w:rsid w:val="00517111"/>
    <w:rsid w:val="005444A0"/>
    <w:rsid w:val="005715B6"/>
    <w:rsid w:val="005A0A04"/>
    <w:rsid w:val="005D4DB0"/>
    <w:rsid w:val="005E3E4F"/>
    <w:rsid w:val="00602C3F"/>
    <w:rsid w:val="00605A2A"/>
    <w:rsid w:val="006369D9"/>
    <w:rsid w:val="0065409A"/>
    <w:rsid w:val="006A2E06"/>
    <w:rsid w:val="006A32B1"/>
    <w:rsid w:val="006B3988"/>
    <w:rsid w:val="006F346A"/>
    <w:rsid w:val="007111D7"/>
    <w:rsid w:val="0071610E"/>
    <w:rsid w:val="00721B55"/>
    <w:rsid w:val="00792262"/>
    <w:rsid w:val="00797F6D"/>
    <w:rsid w:val="007A7E6B"/>
    <w:rsid w:val="007B25DC"/>
    <w:rsid w:val="007B3404"/>
    <w:rsid w:val="007C0792"/>
    <w:rsid w:val="00855617"/>
    <w:rsid w:val="008625D5"/>
    <w:rsid w:val="00893436"/>
    <w:rsid w:val="008D004F"/>
    <w:rsid w:val="008D1F66"/>
    <w:rsid w:val="009302F7"/>
    <w:rsid w:val="009732A4"/>
    <w:rsid w:val="009A14F4"/>
    <w:rsid w:val="009C1EEE"/>
    <w:rsid w:val="009E4538"/>
    <w:rsid w:val="00A81C93"/>
    <w:rsid w:val="00AB1648"/>
    <w:rsid w:val="00AC5908"/>
    <w:rsid w:val="00B07002"/>
    <w:rsid w:val="00B238B4"/>
    <w:rsid w:val="00B44BBE"/>
    <w:rsid w:val="00B53CF8"/>
    <w:rsid w:val="00B61A93"/>
    <w:rsid w:val="00B62BBC"/>
    <w:rsid w:val="00BA7F58"/>
    <w:rsid w:val="00BD258E"/>
    <w:rsid w:val="00BD7533"/>
    <w:rsid w:val="00BF5698"/>
    <w:rsid w:val="00C27DE7"/>
    <w:rsid w:val="00C33DDD"/>
    <w:rsid w:val="00C63F26"/>
    <w:rsid w:val="00CB3D18"/>
    <w:rsid w:val="00CC53FB"/>
    <w:rsid w:val="00D249B9"/>
    <w:rsid w:val="00D3704B"/>
    <w:rsid w:val="00D42971"/>
    <w:rsid w:val="00D86E7B"/>
    <w:rsid w:val="00DA77C4"/>
    <w:rsid w:val="00DB6924"/>
    <w:rsid w:val="00DF7FF4"/>
    <w:rsid w:val="00E079C7"/>
    <w:rsid w:val="00E24390"/>
    <w:rsid w:val="00E379B4"/>
    <w:rsid w:val="00E47FD7"/>
    <w:rsid w:val="00E54795"/>
    <w:rsid w:val="00E81DA9"/>
    <w:rsid w:val="00EA44B8"/>
    <w:rsid w:val="00F0033B"/>
    <w:rsid w:val="00F055D7"/>
    <w:rsid w:val="00F27863"/>
    <w:rsid w:val="00F45E48"/>
    <w:rsid w:val="00FE0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D"/>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45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1721</Characters>
  <Application>Microsoft Office Word</Application>
  <DocSecurity>4</DocSecurity>
  <Lines>14</Lines>
  <Paragraphs>4</Paragraphs>
  <ScaleCrop>false</ScaleCrop>
  <Company>微软中国</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2024-04-10T16:00:00Z</dcterms:created>
  <dcterms:modified xsi:type="dcterms:W3CDTF">2024-04-10T16:00:00Z</dcterms:modified>
</cp:coreProperties>
</file>