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1EDC" w:rsidP="00771EDC">
      <w:pPr>
        <w:pStyle w:val="XBRL2"/>
        <w:spacing w:before="156"/>
        <w:jc w:val="center"/>
      </w:pPr>
      <w:r>
        <w:rPr>
          <w:rFonts w:ascii="宋体" w:hAnsi="宋体" w:hint="eastAsia"/>
          <w:bCs w:val="0"/>
          <w:sz w:val="48"/>
          <w:szCs w:val="48"/>
        </w:rPr>
        <w:t>泰信天天收益货币市场基金调整非直销渠道大额申购、转换转入、定期定额投资业务公告</w:t>
      </w:r>
    </w:p>
    <w:p w:rsidR="00000000" w:rsidRDefault="00771EDC">
      <w:pPr>
        <w:spacing w:line="560" w:lineRule="exact"/>
        <w:jc w:val="center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 xml:space="preserve">   </w:t>
      </w:r>
    </w:p>
    <w:p w:rsidR="00000000" w:rsidRDefault="00771EDC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公告送出日期：</w:t>
      </w:r>
      <w:r>
        <w:rPr>
          <w:rFonts w:hint="eastAsia"/>
          <w:b/>
          <w:bCs/>
          <w:sz w:val="24"/>
          <w:szCs w:val="24"/>
        </w:rPr>
        <w:t>2024</w:t>
      </w:r>
      <w:r>
        <w:rPr>
          <w:rFonts w:hint="eastAsia"/>
          <w:b/>
          <w:bCs/>
          <w:sz w:val="24"/>
          <w:szCs w:val="24"/>
        </w:rPr>
        <w:t>年</w:t>
      </w:r>
      <w:r>
        <w:rPr>
          <w:rFonts w:hint="eastAsia"/>
          <w:b/>
          <w:bCs/>
          <w:sz w:val="24"/>
          <w:szCs w:val="24"/>
        </w:rPr>
        <w:t>4</w:t>
      </w:r>
      <w:r>
        <w:rPr>
          <w:rFonts w:hint="eastAsia"/>
          <w:b/>
          <w:bCs/>
          <w:sz w:val="24"/>
          <w:szCs w:val="24"/>
        </w:rPr>
        <w:t>月</w:t>
      </w:r>
      <w:r>
        <w:rPr>
          <w:rFonts w:hint="eastAsia"/>
          <w:b/>
          <w:bCs/>
          <w:sz w:val="24"/>
          <w:szCs w:val="24"/>
        </w:rPr>
        <w:t>11</w:t>
      </w:r>
      <w:r>
        <w:rPr>
          <w:rFonts w:hint="eastAsia"/>
          <w:b/>
          <w:bCs/>
          <w:sz w:val="24"/>
          <w:szCs w:val="24"/>
        </w:rPr>
        <w:t>日</w:t>
      </w:r>
    </w:p>
    <w:p w:rsidR="00000000" w:rsidRDefault="00771EDC" w:rsidP="00771EDC">
      <w:pPr>
        <w:pStyle w:val="XBRLTitle1"/>
        <w:numPr>
          <w:ilvl w:val="0"/>
          <w:numId w:val="2"/>
        </w:numPr>
        <w:spacing w:before="156" w:line="360" w:lineRule="auto"/>
        <w:ind w:left="850"/>
        <w:jc w:val="left"/>
        <w:rPr>
          <w:rFonts w:hAnsi="宋体" w:hint="eastAsia"/>
        </w:rPr>
      </w:pPr>
      <w:r>
        <w:rPr>
          <w:rFonts w:hAnsi="宋体" w:hint="eastAsia"/>
        </w:rPr>
        <w:t>公告基本信息</w:t>
      </w:r>
      <w:r>
        <w:rPr>
          <w:rFonts w:hAnsi="宋体" w:hint="eastAsia"/>
        </w:rPr>
        <w:t xml:space="preserve"> </w:t>
      </w:r>
    </w:p>
    <w:tbl>
      <w:tblPr>
        <w:tblW w:w="8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5"/>
        <w:gridCol w:w="2352"/>
        <w:gridCol w:w="1560"/>
        <w:gridCol w:w="1417"/>
        <w:gridCol w:w="2101"/>
      </w:tblGrid>
      <w:tr w:rsidR="00000000"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71EDC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5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71EDC">
            <w:r>
              <w:rPr>
                <w:rFonts w:hint="eastAsia"/>
              </w:rPr>
              <w:t>泰信天天收益货币市场基金</w:t>
            </w:r>
          </w:p>
        </w:tc>
      </w:tr>
      <w:tr w:rsidR="00000000"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71EDC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基金简称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71EDC">
            <w:r>
              <w:rPr>
                <w:rFonts w:hint="eastAsia"/>
              </w:rPr>
              <w:t>泰信天天收益货币</w:t>
            </w:r>
          </w:p>
        </w:tc>
      </w:tr>
      <w:tr w:rsidR="00000000"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71EDC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基金主代码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71EDC">
            <w:r>
              <w:rPr>
                <w:rFonts w:hint="eastAsia"/>
              </w:rPr>
              <w:t>290001</w:t>
            </w:r>
          </w:p>
        </w:tc>
      </w:tr>
      <w:tr w:rsidR="00000000"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71EDC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5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71EDC">
            <w:r>
              <w:rPr>
                <w:rFonts w:hint="eastAsia"/>
              </w:rPr>
              <w:t>泰信基金管理有限公司</w:t>
            </w:r>
          </w:p>
        </w:tc>
      </w:tr>
      <w:tr w:rsidR="00000000"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71EDC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5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71EDC">
            <w:r>
              <w:rPr>
                <w:rFonts w:hint="eastAsia"/>
              </w:rPr>
              <w:t>《公开募集证券投资基金信息披露管理办法》、《泰信天天收益货币市场基金基金合同》</w:t>
            </w:r>
          </w:p>
        </w:tc>
      </w:tr>
      <w:tr w:rsidR="00000000">
        <w:tc>
          <w:tcPr>
            <w:tcW w:w="1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71EDC">
            <w:r>
              <w:rPr>
                <w:rFonts w:hint="eastAsia"/>
              </w:rPr>
              <w:t>暂停相关业务的起始日、金额及原因说明</w:t>
            </w: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71EDC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暂停大额申购起始日</w:t>
            </w:r>
          </w:p>
        </w:tc>
        <w:tc>
          <w:tcPr>
            <w:tcW w:w="5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71EDC"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</w:tr>
      <w:tr w:rsidR="00000000">
        <w:tc>
          <w:tcPr>
            <w:tcW w:w="3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71EDC">
            <w:pPr>
              <w:widowControl/>
              <w:jc w:val="left"/>
            </w:pP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71EDC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暂停大额转换转入起始日</w:t>
            </w:r>
          </w:p>
        </w:tc>
        <w:tc>
          <w:tcPr>
            <w:tcW w:w="5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71EDC"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</w:tr>
      <w:tr w:rsidR="00000000">
        <w:tc>
          <w:tcPr>
            <w:tcW w:w="3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71EDC">
            <w:pPr>
              <w:widowControl/>
              <w:jc w:val="left"/>
            </w:pP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71EDC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暂停大额定期定额投资起始日</w:t>
            </w:r>
          </w:p>
        </w:tc>
        <w:tc>
          <w:tcPr>
            <w:tcW w:w="5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71EDC"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</w:tr>
      <w:tr w:rsidR="00000000">
        <w:tc>
          <w:tcPr>
            <w:tcW w:w="3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71EDC">
            <w:pPr>
              <w:widowControl/>
              <w:jc w:val="left"/>
            </w:pP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71EDC">
            <w:r>
              <w:rPr>
                <w:rFonts w:hint="eastAsia"/>
              </w:rPr>
              <w:t>限制申购金额（单位：人民币元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5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71EDC">
            <w:r>
              <w:rPr>
                <w:rFonts w:hint="eastAsia"/>
              </w:rPr>
              <w:t>5,000,000.00</w:t>
            </w:r>
          </w:p>
        </w:tc>
      </w:tr>
      <w:tr w:rsidR="00000000">
        <w:tc>
          <w:tcPr>
            <w:tcW w:w="3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71EDC">
            <w:pPr>
              <w:widowControl/>
              <w:jc w:val="left"/>
            </w:pP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71EDC">
            <w:r>
              <w:rPr>
                <w:rFonts w:hint="eastAsia"/>
              </w:rPr>
              <w:t>限制转换转入金额（单位：人民币元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71EDC">
            <w:r>
              <w:rPr>
                <w:rFonts w:hint="eastAsia"/>
              </w:rPr>
              <w:t>5,000,000.00</w:t>
            </w:r>
          </w:p>
        </w:tc>
      </w:tr>
      <w:tr w:rsidR="00000000">
        <w:tc>
          <w:tcPr>
            <w:tcW w:w="3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71EDC">
            <w:pPr>
              <w:widowControl/>
              <w:jc w:val="left"/>
            </w:pP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71EDC">
            <w:r>
              <w:rPr>
                <w:rFonts w:hint="eastAsia"/>
              </w:rPr>
              <w:t>限制定期定额投资金额（单位：人民币元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71EDC">
            <w:r>
              <w:rPr>
                <w:rFonts w:hint="eastAsia"/>
              </w:rPr>
              <w:t>5,000,000.00</w:t>
            </w:r>
          </w:p>
        </w:tc>
      </w:tr>
      <w:tr w:rsidR="00000000">
        <w:tc>
          <w:tcPr>
            <w:tcW w:w="3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71EDC">
            <w:pPr>
              <w:widowControl/>
              <w:jc w:val="left"/>
            </w:pP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71EDC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暂停大额申购、转换转入、定期定额投资的原因说明</w:t>
            </w:r>
          </w:p>
        </w:tc>
        <w:tc>
          <w:tcPr>
            <w:tcW w:w="5078" w:type="dxa"/>
            <w:gridSpan w:val="3"/>
            <w:tcBorders>
              <w:top w:val="single" w:sz="4" w:space="0" w:color="000000"/>
              <w:left w:val="nil"/>
              <w:bottom w:val="outset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71EDC">
            <w:r>
              <w:rPr>
                <w:rFonts w:hint="eastAsia"/>
              </w:rPr>
              <w:t>为保证本基金的稳定运作，保护基金份额持有人利益。</w:t>
            </w:r>
          </w:p>
        </w:tc>
      </w:tr>
      <w:tr w:rsidR="00000000"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71EDC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下属分级基金的基金简称</w:t>
            </w:r>
          </w:p>
        </w:tc>
        <w:tc>
          <w:tcPr>
            <w:tcW w:w="1560" w:type="dxa"/>
            <w:tcBorders>
              <w:top w:val="outset" w:sz="4" w:space="0" w:color="000000"/>
              <w:left w:val="nil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771EDC">
            <w:r>
              <w:rPr>
                <w:rFonts w:hint="eastAsia"/>
              </w:rPr>
              <w:t>泰信天天收益</w:t>
            </w:r>
            <w:r>
              <w:rPr>
                <w:rFonts w:hint="eastAsia"/>
              </w:rPr>
              <w:t>A</w:t>
            </w:r>
          </w:p>
        </w:tc>
        <w:tc>
          <w:tcPr>
            <w:tcW w:w="1417" w:type="dxa"/>
            <w:tcBorders>
              <w:top w:val="outset" w:sz="4" w:space="0" w:color="000000"/>
              <w:left w:val="nil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771EDC">
            <w:r>
              <w:rPr>
                <w:rFonts w:hint="eastAsia"/>
              </w:rPr>
              <w:t>泰信天天收益</w:t>
            </w:r>
            <w:r>
              <w:rPr>
                <w:rFonts w:hint="eastAsia"/>
              </w:rPr>
              <w:t>B</w:t>
            </w:r>
          </w:p>
        </w:tc>
        <w:tc>
          <w:tcPr>
            <w:tcW w:w="2101" w:type="dxa"/>
            <w:tcBorders>
              <w:top w:val="outset" w:sz="4" w:space="0" w:color="000000"/>
              <w:left w:val="nil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771EDC">
            <w:r>
              <w:rPr>
                <w:rFonts w:hint="eastAsia"/>
              </w:rPr>
              <w:t>泰信天天收益</w:t>
            </w:r>
            <w:r>
              <w:rPr>
                <w:rFonts w:hint="eastAsia"/>
              </w:rPr>
              <w:t>E</w:t>
            </w:r>
          </w:p>
        </w:tc>
      </w:tr>
      <w:tr w:rsidR="00000000"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71EDC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下属分级基金的交易代码</w:t>
            </w:r>
          </w:p>
        </w:tc>
        <w:tc>
          <w:tcPr>
            <w:tcW w:w="1560" w:type="dxa"/>
            <w:tcBorders>
              <w:top w:val="outset" w:sz="4" w:space="0" w:color="000000"/>
              <w:left w:val="nil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771EDC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290001</w:t>
            </w:r>
          </w:p>
        </w:tc>
        <w:tc>
          <w:tcPr>
            <w:tcW w:w="1417" w:type="dxa"/>
            <w:tcBorders>
              <w:top w:val="outset" w:sz="4" w:space="0" w:color="000000"/>
              <w:left w:val="nil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771EDC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002234</w:t>
            </w:r>
          </w:p>
        </w:tc>
        <w:tc>
          <w:tcPr>
            <w:tcW w:w="2101" w:type="dxa"/>
            <w:tcBorders>
              <w:top w:val="outset" w:sz="4" w:space="0" w:color="000000"/>
              <w:left w:val="nil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771EDC">
            <w:r>
              <w:rPr>
                <w:rFonts w:hint="eastAsia"/>
              </w:rPr>
              <w:t>002235</w:t>
            </w:r>
          </w:p>
        </w:tc>
      </w:tr>
      <w:tr w:rsidR="00000000"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71EDC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该分级基金是否暂停大额申购、转换转入、定期定额投资</w:t>
            </w:r>
          </w:p>
        </w:tc>
        <w:tc>
          <w:tcPr>
            <w:tcW w:w="1560" w:type="dxa"/>
            <w:tcBorders>
              <w:top w:val="outset" w:sz="4" w:space="0" w:color="000000"/>
              <w:left w:val="nil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771EDC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1417" w:type="dxa"/>
            <w:tcBorders>
              <w:top w:val="outset" w:sz="4" w:space="0" w:color="000000"/>
              <w:left w:val="nil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771EDC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101" w:type="dxa"/>
            <w:tcBorders>
              <w:top w:val="outset" w:sz="4" w:space="0" w:color="000000"/>
              <w:left w:val="nil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771EDC">
            <w:r>
              <w:rPr>
                <w:rFonts w:hint="eastAsia"/>
              </w:rPr>
              <w:t>是</w:t>
            </w:r>
          </w:p>
        </w:tc>
      </w:tr>
      <w:tr w:rsidR="00000000"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71EDC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下属分级基金的限制申购金额（单位：人民币元）</w:t>
            </w:r>
          </w:p>
        </w:tc>
        <w:tc>
          <w:tcPr>
            <w:tcW w:w="156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771EDC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5,000,000.00</w:t>
            </w:r>
          </w:p>
        </w:tc>
        <w:tc>
          <w:tcPr>
            <w:tcW w:w="1417" w:type="dxa"/>
            <w:tcBorders>
              <w:top w:val="outset" w:sz="4" w:space="0" w:color="000000"/>
              <w:left w:val="nil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771EDC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5,000,000.00</w:t>
            </w:r>
          </w:p>
        </w:tc>
        <w:tc>
          <w:tcPr>
            <w:tcW w:w="2101" w:type="dxa"/>
            <w:tcBorders>
              <w:top w:val="outset" w:sz="4" w:space="0" w:color="000000"/>
              <w:left w:val="nil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771EDC">
            <w:r>
              <w:rPr>
                <w:rFonts w:hint="eastAsia"/>
              </w:rPr>
              <w:t>-</w:t>
            </w:r>
          </w:p>
        </w:tc>
      </w:tr>
      <w:tr w:rsidR="00000000"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71EDC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下属分级基金的限制转换转入金额（单位：人民币元）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6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771EDC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5,000,000.00</w:t>
            </w:r>
          </w:p>
        </w:tc>
        <w:tc>
          <w:tcPr>
            <w:tcW w:w="1417" w:type="dxa"/>
            <w:tcBorders>
              <w:top w:val="outset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771EDC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5,000,000.00</w:t>
            </w:r>
          </w:p>
        </w:tc>
        <w:tc>
          <w:tcPr>
            <w:tcW w:w="2101" w:type="dxa"/>
            <w:tcBorders>
              <w:top w:val="outset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771EDC">
            <w:r>
              <w:rPr>
                <w:rFonts w:hint="eastAsia"/>
              </w:rPr>
              <w:t>-</w:t>
            </w:r>
          </w:p>
        </w:tc>
      </w:tr>
      <w:tr w:rsidR="00000000"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71EDC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下属分级基金的限制定期定额投资金额（单位：人民币元）</w:t>
            </w:r>
          </w:p>
        </w:tc>
        <w:tc>
          <w:tcPr>
            <w:tcW w:w="1560" w:type="dxa"/>
            <w:tcBorders>
              <w:top w:val="outset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771EDC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5,000,000.00</w:t>
            </w:r>
          </w:p>
        </w:tc>
        <w:tc>
          <w:tcPr>
            <w:tcW w:w="1417" w:type="dxa"/>
            <w:tcBorders>
              <w:top w:val="outset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771EDC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5,000,000.00</w:t>
            </w:r>
          </w:p>
        </w:tc>
        <w:tc>
          <w:tcPr>
            <w:tcW w:w="2101" w:type="dxa"/>
            <w:tcBorders>
              <w:top w:val="outset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771EDC">
            <w:r>
              <w:rPr>
                <w:rFonts w:hint="eastAsia"/>
              </w:rPr>
              <w:t>-</w:t>
            </w:r>
          </w:p>
        </w:tc>
      </w:tr>
    </w:tbl>
    <w:p w:rsidR="00000000" w:rsidRDefault="00771EDC" w:rsidP="00771EDC">
      <w:pPr>
        <w:pStyle w:val="XBRLTitle1"/>
        <w:numPr>
          <w:ilvl w:val="0"/>
          <w:numId w:val="2"/>
        </w:numPr>
        <w:spacing w:before="156" w:line="360" w:lineRule="auto"/>
        <w:ind w:left="850"/>
        <w:jc w:val="left"/>
        <w:rPr>
          <w:rFonts w:hAnsi="宋体" w:hint="eastAsia"/>
        </w:rPr>
      </w:pPr>
      <w:r>
        <w:rPr>
          <w:rFonts w:hAnsi="宋体" w:hint="eastAsia"/>
        </w:rPr>
        <w:t>其他需要提示的事项</w:t>
      </w:r>
      <w:r>
        <w:rPr>
          <w:rFonts w:hAnsi="宋体" w:hint="eastAsia"/>
        </w:rPr>
        <w:t xml:space="preserve"> </w:t>
      </w:r>
    </w:p>
    <w:p w:rsidR="00000000" w:rsidRDefault="00771EDC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、自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日起，本基金</w:t>
      </w:r>
      <w:r>
        <w:rPr>
          <w:rFonts w:hint="eastAsia"/>
        </w:rPr>
        <w:t>A</w:t>
      </w:r>
      <w:r>
        <w:rPr>
          <w:rFonts w:hint="eastAsia"/>
        </w:rPr>
        <w:t>份额及</w:t>
      </w:r>
      <w:r>
        <w:rPr>
          <w:rFonts w:hint="eastAsia"/>
        </w:rPr>
        <w:t>B</w:t>
      </w:r>
      <w:r>
        <w:rPr>
          <w:rFonts w:hint="eastAsia"/>
        </w:rPr>
        <w:t>份额限制非直销渠道单日单个基金账户累计金</w:t>
      </w:r>
      <w:r>
        <w:rPr>
          <w:rFonts w:hint="eastAsia"/>
        </w:rPr>
        <w:lastRenderedPageBreak/>
        <w:t>额</w:t>
      </w:r>
      <w:r>
        <w:rPr>
          <w:rFonts w:hint="eastAsia"/>
        </w:rPr>
        <w:t>5,000,000.00</w:t>
      </w:r>
      <w:r>
        <w:rPr>
          <w:rFonts w:hint="eastAsia"/>
        </w:rPr>
        <w:t>元以上的大额申购（含定期定额投资）及转换转入业务，如单日单个基金账户通过非直销渠道累计大额申购（含定期定额投资）及转换转入本基金金额超过</w:t>
      </w:r>
      <w:r>
        <w:rPr>
          <w:rFonts w:hint="eastAsia"/>
        </w:rPr>
        <w:t>5,000,000.00</w:t>
      </w:r>
      <w:r>
        <w:rPr>
          <w:rFonts w:hint="eastAsia"/>
        </w:rPr>
        <w:t>元，本基金管理人将有权拒绝。本基金</w:t>
      </w:r>
      <w:r>
        <w:rPr>
          <w:rFonts w:hint="eastAsia"/>
        </w:rPr>
        <w:t>A</w:t>
      </w:r>
      <w:r>
        <w:rPr>
          <w:rFonts w:hint="eastAsia"/>
        </w:rPr>
        <w:t>份额、</w:t>
      </w:r>
      <w:r>
        <w:rPr>
          <w:rFonts w:hint="eastAsia"/>
        </w:rPr>
        <w:t>B</w:t>
      </w:r>
      <w:r>
        <w:rPr>
          <w:rFonts w:hint="eastAsia"/>
        </w:rPr>
        <w:t>份额、</w:t>
      </w:r>
      <w:r>
        <w:rPr>
          <w:rFonts w:hint="eastAsia"/>
        </w:rPr>
        <w:t>E</w:t>
      </w:r>
      <w:r>
        <w:rPr>
          <w:rFonts w:hint="eastAsia"/>
        </w:rPr>
        <w:t>份额进行合并计算。</w:t>
      </w:r>
      <w:r>
        <w:rPr>
          <w:rFonts w:hint="eastAsia"/>
        </w:rPr>
        <w:br/>
        <w:t xml:space="preserve">    2</w:t>
      </w:r>
      <w:r>
        <w:rPr>
          <w:rFonts w:hint="eastAsia"/>
        </w:rPr>
        <w:t>、在本基金</w:t>
      </w:r>
      <w:r>
        <w:rPr>
          <w:rFonts w:hint="eastAsia"/>
        </w:rPr>
        <w:t>A</w:t>
      </w:r>
      <w:r>
        <w:rPr>
          <w:rFonts w:hint="eastAsia"/>
        </w:rPr>
        <w:t>份额及</w:t>
      </w:r>
      <w:r>
        <w:rPr>
          <w:rFonts w:hint="eastAsia"/>
        </w:rPr>
        <w:t>B</w:t>
      </w:r>
      <w:r>
        <w:rPr>
          <w:rFonts w:hint="eastAsia"/>
        </w:rPr>
        <w:t>份额限制大额申购（含定期定额投资）及转换转入业务期间，其他业务正常办理。本基金</w:t>
      </w:r>
      <w:r>
        <w:rPr>
          <w:rFonts w:hint="eastAsia"/>
        </w:rPr>
        <w:t>A</w:t>
      </w:r>
      <w:r>
        <w:rPr>
          <w:rFonts w:hint="eastAsia"/>
        </w:rPr>
        <w:t>份额及</w:t>
      </w:r>
      <w:r>
        <w:rPr>
          <w:rFonts w:hint="eastAsia"/>
        </w:rPr>
        <w:t>B</w:t>
      </w:r>
      <w:r>
        <w:rPr>
          <w:rFonts w:hint="eastAsia"/>
        </w:rPr>
        <w:t>份额恢复大额申购（含定期定额投资业务）及转换转入业</w:t>
      </w:r>
      <w:r>
        <w:rPr>
          <w:rFonts w:hint="eastAsia"/>
        </w:rPr>
        <w:t>务时间另行公告。</w:t>
      </w:r>
      <w:r>
        <w:rPr>
          <w:rFonts w:hint="eastAsia"/>
        </w:rPr>
        <w:br/>
        <w:t xml:space="preserve">    3</w:t>
      </w:r>
      <w:r>
        <w:rPr>
          <w:rFonts w:hint="eastAsia"/>
        </w:rPr>
        <w:t>、本基金</w:t>
      </w:r>
      <w:r>
        <w:rPr>
          <w:rFonts w:hint="eastAsia"/>
        </w:rPr>
        <w:t>E</w:t>
      </w:r>
      <w:r>
        <w:rPr>
          <w:rFonts w:hint="eastAsia"/>
        </w:rPr>
        <w:t>份额自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日起暂停申购（含定期定额投资）及转换转入业务，在本基金</w:t>
      </w:r>
      <w:r>
        <w:rPr>
          <w:rFonts w:hint="eastAsia"/>
        </w:rPr>
        <w:t>E</w:t>
      </w:r>
      <w:r>
        <w:rPr>
          <w:rFonts w:hint="eastAsia"/>
        </w:rPr>
        <w:t>份额暂停申购（含定期定额投资）及转换转入业务期间，本基金</w:t>
      </w:r>
      <w:r>
        <w:rPr>
          <w:rFonts w:hint="eastAsia"/>
        </w:rPr>
        <w:t>E</w:t>
      </w:r>
      <w:r>
        <w:rPr>
          <w:rFonts w:hint="eastAsia"/>
        </w:rPr>
        <w:t>份额其他业务正常办理。详见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日发布的《泰信天天收益货币市场基金</w:t>
      </w:r>
      <w:r>
        <w:rPr>
          <w:rFonts w:hint="eastAsia"/>
        </w:rPr>
        <w:t>E</w:t>
      </w:r>
      <w:r>
        <w:rPr>
          <w:rFonts w:hint="eastAsia"/>
        </w:rPr>
        <w:t>份额暂停申购、转换转入、定期定额投资业务公告》。</w:t>
      </w:r>
      <w:r>
        <w:rPr>
          <w:rFonts w:hint="eastAsia"/>
        </w:rPr>
        <w:br/>
        <w:t xml:space="preserve">    4</w:t>
      </w:r>
      <w:r>
        <w:rPr>
          <w:rFonts w:hint="eastAsia"/>
        </w:rPr>
        <w:t>、投资者可登录本公司网站</w:t>
      </w:r>
      <w:r>
        <w:rPr>
          <w:rFonts w:hint="eastAsia"/>
        </w:rPr>
        <w:t>www.ftfund.com</w:t>
      </w:r>
      <w:r>
        <w:rPr>
          <w:rFonts w:hint="eastAsia"/>
        </w:rPr>
        <w:t>或拨打客户服务电话</w:t>
      </w:r>
      <w:r>
        <w:rPr>
          <w:rFonts w:hint="eastAsia"/>
        </w:rPr>
        <w:t>400-888-5988</w:t>
      </w:r>
      <w:r>
        <w:rPr>
          <w:rFonts w:hint="eastAsia"/>
        </w:rPr>
        <w:t>或（</w:t>
      </w:r>
      <w:r>
        <w:rPr>
          <w:rFonts w:hint="eastAsia"/>
        </w:rPr>
        <w:t>021</w:t>
      </w:r>
      <w:r>
        <w:rPr>
          <w:rFonts w:hint="eastAsia"/>
        </w:rPr>
        <w:t>）</w:t>
      </w:r>
      <w:r>
        <w:rPr>
          <w:rFonts w:hint="eastAsia"/>
        </w:rPr>
        <w:t>38784566</w:t>
      </w:r>
      <w:r>
        <w:rPr>
          <w:rFonts w:hint="eastAsia"/>
        </w:rPr>
        <w:t>了解详细情况。本公告的解释权归本基金管理人。</w:t>
      </w:r>
      <w:r>
        <w:rPr>
          <w:rFonts w:hint="eastAsia"/>
        </w:rPr>
        <w:br/>
        <w:t xml:space="preserve">    </w:t>
      </w:r>
      <w:r>
        <w:rPr>
          <w:rFonts w:hint="eastAsia"/>
        </w:rPr>
        <w:t>特此公告。</w:t>
      </w:r>
    </w:p>
    <w:p w:rsidR="00000000" w:rsidRDefault="00771EDC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</w:t>
      </w:r>
    </w:p>
    <w:p w:rsidR="00000000" w:rsidRDefault="00771EDC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</w:t>
      </w:r>
    </w:p>
    <w:p w:rsidR="00000000" w:rsidRDefault="00771EDC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泰信基金管理有限公司</w:t>
      </w:r>
    </w:p>
    <w:p w:rsidR="00000000" w:rsidRDefault="00771EDC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</w:t>
      </w:r>
      <w:r>
        <w:rPr>
          <w:rFonts w:hint="eastAsia"/>
          <w:b/>
          <w:bCs/>
          <w:sz w:val="24"/>
          <w:szCs w:val="24"/>
        </w:rPr>
        <w:t>年</w:t>
      </w:r>
      <w:r>
        <w:rPr>
          <w:rFonts w:hint="eastAsia"/>
          <w:b/>
          <w:bCs/>
          <w:sz w:val="24"/>
          <w:szCs w:val="24"/>
        </w:rPr>
        <w:t>4</w:t>
      </w:r>
      <w:r>
        <w:rPr>
          <w:rFonts w:hint="eastAsia"/>
          <w:b/>
          <w:bCs/>
          <w:sz w:val="24"/>
          <w:szCs w:val="24"/>
        </w:rPr>
        <w:t>月</w:t>
      </w:r>
      <w:r>
        <w:rPr>
          <w:rFonts w:hint="eastAsia"/>
          <w:b/>
          <w:bCs/>
          <w:sz w:val="24"/>
          <w:szCs w:val="24"/>
        </w:rPr>
        <w:t>11</w:t>
      </w:r>
      <w:r>
        <w:rPr>
          <w:rFonts w:hint="eastAsia"/>
          <w:b/>
          <w:bCs/>
          <w:sz w:val="24"/>
          <w:szCs w:val="24"/>
        </w:rPr>
        <w:t>日</w:t>
      </w:r>
    </w:p>
    <w:sectPr w:rsidR="00000000">
      <w:headerReference w:type="default" r:id="rId7"/>
      <w:footerReference w:type="default" r:id="rId8"/>
      <w:pgSz w:w="11915" w:h="16839"/>
      <w:pgMar w:top="1440" w:right="1531" w:bottom="1135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771EDC">
      <w:r>
        <w:separator/>
      </w:r>
    </w:p>
  </w:endnote>
  <w:endnote w:type="continuationSeparator" w:id="0">
    <w:p w:rsidR="00000000" w:rsidRDefault="00771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00"/>
    <w:family w:val="auto"/>
    <w:pitch w:val="default"/>
    <w:sig w:usb0="00000000" w:usb1="00000000" w:usb2="00000000" w:usb3="00000000" w:csb0="00000000" w:csb1="00000000"/>
  </w:font>
  <w:font w:name="Microsoft YaHei UI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1EDC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t>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771EDC">
      <w:r>
        <w:separator/>
      </w:r>
    </w:p>
  </w:footnote>
  <w:footnote w:type="continuationSeparator" w:id="0">
    <w:p w:rsidR="00000000" w:rsidRDefault="00771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1EDC">
    <w:pPr>
      <w:pStyle w:val="a7"/>
      <w:jc w:val="right"/>
    </w:pPr>
    <w:r>
      <w:rPr>
        <w:rFonts w:hint="eastAsia"/>
      </w:rPr>
      <w:t>泰信天天收益货币市场基金调整非直销渠道大额申购、转换转入、定期定额投资业务公告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618"/>
    <w:multiLevelType w:val="multilevel"/>
    <w:tmpl w:val="F96E8A2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3148" w:hanging="454"/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1050" w:hanging="62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794" w:hanging="794"/>
      </w:pPr>
      <w:rPr>
        <w:rFonts w:ascii="Times New Roman" w:hAnsi="Times New Roman"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1021" w:hanging="1021"/>
      </w:pPr>
      <w:rPr>
        <w:rFonts w:ascii="Times New Roman" w:hAnsi="Times New Roman" w:cs="Times New Roman" w:hint="default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1021" w:hanging="102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27" w:hanging="127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94" w:hanging="141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02" w:hanging="170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</w:compat>
  <w:rsids>
    <w:rsidRoot w:val="00771EDC"/>
    <w:rsid w:val="0077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0" w:unhideWhenUsed="0" w:qFormat="1"/>
    <w:lsdException w:name="heading 5" w:uiPriority="9" w:unhideWhenUsed="0" w:qFormat="1"/>
    <w:lsdException w:name="heading 6" w:uiPriority="9" w:unhideWhenUsed="0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uiPriority="0" w:unhideWhenUsed="0"/>
    <w:lsdException w:name="index 2" w:uiPriority="0" w:unhideWhenUsed="0"/>
    <w:lsdException w:name="index 3" w:uiPriority="0" w:unhideWhenUsed="0"/>
    <w:lsdException w:name="index 4" w:uiPriority="0" w:unhideWhenUsed="0"/>
    <w:lsdException w:name="index 5" w:uiPriority="0" w:unhideWhenUsed="0"/>
    <w:lsdException w:name="index 6" w:uiPriority="0" w:unhideWhenUsed="0"/>
    <w:lsdException w:name="index 7" w:uiPriority="0" w:unhideWhenUsed="0"/>
    <w:lsdException w:name="index 8" w:uiPriority="0" w:unhideWhenUsed="0"/>
    <w:lsdException w:name="index 9" w:uiPriority="0" w:unhideWhenUsed="0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iPriority="0" w:unhideWhenUsed="0"/>
    <w:lsdException w:name="footnote text" w:uiPriority="0" w:unhideWhenUsed="0"/>
    <w:lsdException w:name="annotation text" w:uiPriority="0" w:unhideWhenUsed="0"/>
    <w:lsdException w:name="header" w:unhideWhenUsed="0"/>
    <w:lsdException w:name="footer" w:unhideWhenUsed="0"/>
    <w:lsdException w:name="index heading" w:uiPriority="0" w:unhideWhenUsed="0"/>
    <w:lsdException w:name="caption" w:semiHidden="1" w:uiPriority="35" w:qFormat="1"/>
    <w:lsdException w:name="table of figures" w:uiPriority="0" w:unhideWhenUsed="0"/>
    <w:lsdException w:name="envelope address" w:uiPriority="0" w:unhideWhenUsed="0"/>
    <w:lsdException w:name="envelope return" w:uiPriority="0" w:unhideWhenUsed="0"/>
    <w:lsdException w:name="footnote reference" w:uiPriority="0" w:unhideWhenUsed="0"/>
    <w:lsdException w:name="annotation reference" w:uiPriority="0" w:unhideWhenUsed="0"/>
    <w:lsdException w:name="line number" w:uiPriority="0" w:unhideWhenUsed="0"/>
    <w:lsdException w:name="page number" w:unhideWhenUsed="0"/>
    <w:lsdException w:name="endnote reference" w:uiPriority="0" w:unhideWhenUsed="0"/>
    <w:lsdException w:name="endnote text" w:uiPriority="0" w:unhideWhenUsed="0"/>
    <w:lsdException w:name="table of authorities" w:uiPriority="0" w:unhideWhenUsed="0"/>
    <w:lsdException w:name="macro" w:uiPriority="0" w:unhideWhenUsed="0"/>
    <w:lsdException w:name="toa heading" w:uiPriority="0" w:unhideWhenUsed="0"/>
    <w:lsdException w:name="List" w:uiPriority="0" w:unhideWhenUsed="0"/>
    <w:lsdException w:name="List Bullet" w:uiPriority="0" w:unhideWhenUsed="0"/>
    <w:lsdException w:name="List Number" w:uiPriority="0" w:unhideWhenUsed="0"/>
    <w:lsdException w:name="List 2" w:uiPriority="0" w:unhideWhenUsed="0"/>
    <w:lsdException w:name="List 3" w:uiPriority="0" w:unhideWhenUsed="0"/>
    <w:lsdException w:name="List 4" w:uiPriority="0" w:unhideWhenUsed="0"/>
    <w:lsdException w:name="List 5" w:uiPriority="0" w:unhideWhenUsed="0"/>
    <w:lsdException w:name="List Bullet 2" w:uiPriority="0" w:unhideWhenUsed="0"/>
    <w:lsdException w:name="List Bullet 3" w:uiPriority="0" w:unhideWhenUsed="0"/>
    <w:lsdException w:name="List Bullet 4" w:uiPriority="0" w:unhideWhenUsed="0"/>
    <w:lsdException w:name="List Bullet 5" w:uiPriority="0" w:unhideWhenUsed="0"/>
    <w:lsdException w:name="List Number 2" w:uiPriority="0" w:unhideWhenUsed="0"/>
    <w:lsdException w:name="List Number 3" w:uiPriority="0" w:unhideWhenUsed="0"/>
    <w:lsdException w:name="List Number 4" w:uiPriority="0" w:unhideWhenUsed="0"/>
    <w:lsdException w:name="List Number 5" w:uiPriority="0" w:unhideWhenUsed="0"/>
    <w:lsdException w:name="Title" w:uiPriority="10" w:unhideWhenUsed="0" w:qFormat="1"/>
    <w:lsdException w:name="Closing" w:uiPriority="0" w:unhideWhenUsed="0"/>
    <w:lsdException w:name="Signature" w:uiPriority="0" w:unhideWhenUsed="0"/>
    <w:lsdException w:name="Body Text" w:uiPriority="0" w:unhideWhenUsed="0"/>
    <w:lsdException w:name="Body Text Indent" w:uiPriority="0" w:unhideWhenUsed="0"/>
    <w:lsdException w:name="List Continue" w:uiPriority="0" w:unhideWhenUsed="0"/>
    <w:lsdException w:name="List Continue 2" w:uiPriority="0" w:unhideWhenUsed="0"/>
    <w:lsdException w:name="List Continue 3" w:uiPriority="0" w:unhideWhenUsed="0"/>
    <w:lsdException w:name="List Continue 4" w:uiPriority="0" w:unhideWhenUsed="0"/>
    <w:lsdException w:name="List Continue 5" w:uiPriority="0" w:unhideWhenUsed="0"/>
    <w:lsdException w:name="Message Header" w:uiPriority="0" w:unhideWhenUsed="0"/>
    <w:lsdException w:name="Subtitle" w:uiPriority="0" w:unhideWhenUsed="0" w:qFormat="1"/>
    <w:lsdException w:name="Salutation" w:uiPriority="0" w:unhideWhenUsed="0"/>
    <w:lsdException w:name="Date" w:uiPriority="0" w:unhideWhenUsed="0"/>
    <w:lsdException w:name="Body Text First Indent" w:uiPriority="0" w:unhideWhenUsed="0"/>
    <w:lsdException w:name="Body Text First Indent 2" w:uiPriority="0" w:unhideWhenUsed="0"/>
    <w:lsdException w:name="Note Heading" w:uiPriority="0" w:unhideWhenUsed="0"/>
    <w:lsdException w:name="Body Text 2" w:uiPriority="0" w:unhideWhenUsed="0"/>
    <w:lsdException w:name="Body Text 3" w:uiPriority="0" w:unhideWhenUsed="0"/>
    <w:lsdException w:name="Body Text Indent 2" w:uiPriority="0" w:unhideWhenUsed="0"/>
    <w:lsdException w:name="Body Text Indent 3" w:uiPriority="0" w:unhideWhenUsed="0"/>
    <w:lsdException w:name="Block Text" w:uiPriority="0" w:unhideWhenUsed="0"/>
    <w:lsdException w:name="Hyperlink" w:uiPriority="0" w:unhideWhenUsed="0"/>
    <w:lsdException w:name="FollowedHyperlink" w:uiPriority="0" w:unhideWhenUsed="0"/>
    <w:lsdException w:name="Strong" w:uiPriority="22" w:unhideWhenUsed="0" w:qFormat="1"/>
    <w:lsdException w:name="Emphasis" w:uiPriority="20" w:unhideWhenUsed="0" w:qFormat="1"/>
    <w:lsdException w:name="Document Map" w:uiPriority="0" w:unhideWhenUsed="0"/>
    <w:lsdException w:name="Plain Text" w:uiPriority="0" w:unhideWhenUsed="0"/>
    <w:lsdException w:name="E-mail Signature" w:uiPriority="0" w:unhideWhenUsed="0"/>
    <w:lsdException w:name="HTML Top of Form" w:semiHidden="1"/>
    <w:lsdException w:name="HTML Bottom of Form" w:semiHidden="1"/>
    <w:lsdException w:name="Normal (Web)" w:uiPriority="0" w:unhideWhenUsed="0"/>
    <w:lsdException w:name="HTML Acronym" w:uiPriority="0" w:unhideWhenUsed="0"/>
    <w:lsdException w:name="HTML Address" w:uiPriority="0" w:unhideWhenUsed="0"/>
    <w:lsdException w:name="HTML Cite" w:uiPriority="0" w:unhideWhenUsed="0"/>
    <w:lsdException w:name="HTML Code" w:uiPriority="0" w:unhideWhenUsed="0"/>
    <w:lsdException w:name="HTML Definition" w:uiPriority="0" w:unhideWhenUsed="0"/>
    <w:lsdException w:name="HTML Keyboard" w:uiPriority="0" w:unhideWhenUsed="0"/>
    <w:lsdException w:name="HTML Preformatted" w:uiPriority="0" w:unhideWhenUsed="0"/>
    <w:lsdException w:name="HTML Sample" w:uiPriority="0" w:unhideWhenUsed="0"/>
    <w:lsdException w:name="HTML Typewriter" w:uiPriority="0" w:unhideWhenUsed="0"/>
    <w:lsdException w:name="HTML Variable" w:uiPriority="0" w:unhideWhenUsed="0"/>
    <w:lsdException w:name="annotation subject" w:uiPriority="0" w:unhideWhenUsed="0"/>
    <w:lsdException w:name="Outline List 1" w:semiHidden="1"/>
    <w:lsdException w:name="Outline List 2" w:semiHidden="1"/>
    <w:lsdException w:name="Outline List 3" w:semiHidden="1"/>
    <w:lsdException w:name="Balloon Text" w:uiPriority="0" w:unhideWhenUsed="0"/>
    <w:lsdException w:name="No Spacing" w:unhideWhenUsed="0" w:qFormat="1"/>
    <w:lsdException w:name="Revision" w:semiHidden="1"/>
    <w:lsdException w:name="List Paragraph" w:unhideWhenUsed="0" w:qFormat="1"/>
    <w:lsdException w:name="Quote" w:unhideWhenUsed="0" w:qFormat="1"/>
    <w:lsdException w:name="Intense Quote" w:unhideWhenUsed="0" w:qFormat="1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宋体" w:hAnsi="宋体" w:cs="宋体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"/>
    <w:uiPriority w:val="9"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rFonts w:ascii="宋体" w:eastAsia="宋体" w:hAnsi="宋体" w:cs="宋体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rPr>
      <w:rFonts w:ascii="宋体" w:eastAsia="宋体" w:hAnsi="宋体" w:cs="宋体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paragraph" w:styleId="a3">
    <w:name w:val="Document Map"/>
    <w:basedOn w:val="a"/>
    <w:link w:val="Char"/>
    <w:pPr>
      <w:shd w:val="clear" w:color="auto" w:fill="000080"/>
    </w:pPr>
  </w:style>
  <w:style w:type="character" w:customStyle="1" w:styleId="Char">
    <w:name w:val="文档结构图 Char"/>
    <w:basedOn w:val="a0"/>
    <w:link w:val="a3"/>
    <w:rPr>
      <w:rFonts w:ascii="宋体" w:eastAsia="宋体" w:hAnsi="宋体" w:cs="宋体"/>
      <w:kern w:val="2"/>
      <w:sz w:val="18"/>
      <w:szCs w:val="18"/>
    </w:rPr>
  </w:style>
  <w:style w:type="paragraph" w:styleId="30">
    <w:name w:val="toc 3"/>
    <w:basedOn w:val="a"/>
    <w:next w:val="a"/>
    <w:autoRedefine/>
    <w:uiPriority w:val="39"/>
  </w:style>
  <w:style w:type="paragraph" w:styleId="a4">
    <w:name w:val="Date"/>
    <w:basedOn w:val="a"/>
    <w:next w:val="a"/>
    <w:link w:val="Char0"/>
    <w:rPr>
      <w:sz w:val="32"/>
      <w:szCs w:val="32"/>
    </w:rPr>
  </w:style>
  <w:style w:type="character" w:customStyle="1" w:styleId="Char0">
    <w:name w:val="日期 Char"/>
    <w:basedOn w:val="a0"/>
    <w:link w:val="a4"/>
    <w:rPr>
      <w:rFonts w:ascii="宋体" w:eastAsia="宋体" w:hAnsi="宋体" w:cs="宋体"/>
      <w:kern w:val="2"/>
      <w:sz w:val="21"/>
      <w:szCs w:val="21"/>
    </w:rPr>
  </w:style>
  <w:style w:type="paragraph" w:styleId="a5">
    <w:name w:val="Balloon Text"/>
    <w:basedOn w:val="a"/>
    <w:link w:val="Char1"/>
    <w:rPr>
      <w:sz w:val="18"/>
      <w:szCs w:val="18"/>
    </w:rPr>
  </w:style>
  <w:style w:type="character" w:customStyle="1" w:styleId="Char1">
    <w:name w:val="批注框文本 Char"/>
    <w:basedOn w:val="a0"/>
    <w:link w:val="a5"/>
    <w:rPr>
      <w:rFonts w:ascii="宋体" w:eastAsia="宋体" w:hAnsi="宋体" w:cs="宋体"/>
      <w:kern w:val="2"/>
      <w:sz w:val="18"/>
      <w:szCs w:val="18"/>
    </w:rPr>
  </w:style>
  <w:style w:type="paragraph" w:styleId="a6">
    <w:name w:val="footer"/>
    <w:basedOn w:val="a"/>
    <w:link w:val="Char2"/>
    <w:uiPriority w:val="99"/>
    <w:pPr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rFonts w:ascii="宋体" w:eastAsia="宋体" w:hAnsi="宋体" w:cs="宋体"/>
      <w:kern w:val="2"/>
      <w:sz w:val="18"/>
      <w:szCs w:val="18"/>
    </w:r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Pr>
      <w:rFonts w:ascii="宋体" w:eastAsia="宋体" w:hAnsi="宋体" w:cs="宋体"/>
      <w:kern w:val="2"/>
      <w:sz w:val="18"/>
      <w:szCs w:val="18"/>
    </w:rPr>
  </w:style>
  <w:style w:type="paragraph" w:styleId="10">
    <w:name w:val="toc 1"/>
    <w:basedOn w:val="a"/>
    <w:next w:val="a"/>
    <w:autoRedefine/>
    <w:uiPriority w:val="39"/>
  </w:style>
  <w:style w:type="paragraph" w:styleId="20">
    <w:name w:val="toc 2"/>
    <w:basedOn w:val="a"/>
    <w:next w:val="a"/>
    <w:autoRedefine/>
    <w:uiPriority w:val="39"/>
    <w:pPr>
      <w:ind w:leftChars="200" w:left="420"/>
    </w:pPr>
  </w:style>
  <w:style w:type="paragraph" w:styleId="a8">
    <w:name w:val="Subtitle"/>
    <w:basedOn w:val="2"/>
    <w:next w:val="3"/>
    <w:link w:val="Char4"/>
    <w:qFormat/>
    <w:pPr>
      <w:spacing w:before="240" w:after="60" w:line="312" w:lineRule="auto"/>
      <w:jc w:val="left"/>
    </w:pPr>
    <w:rPr>
      <w:bCs w:val="0"/>
      <w:kern w:val="24"/>
      <w:sz w:val="24"/>
      <w:szCs w:val="24"/>
    </w:rPr>
  </w:style>
  <w:style w:type="character" w:customStyle="1" w:styleId="Char4">
    <w:name w:val="副标题 Char"/>
    <w:basedOn w:val="a0"/>
    <w:link w:val="a8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9">
    <w:name w:val="footnote text"/>
    <w:basedOn w:val="a"/>
    <w:link w:val="Char5"/>
    <w:pPr>
      <w:snapToGrid w:val="0"/>
      <w:jc w:val="left"/>
    </w:pPr>
    <w:rPr>
      <w:sz w:val="18"/>
      <w:szCs w:val="18"/>
    </w:rPr>
  </w:style>
  <w:style w:type="character" w:customStyle="1" w:styleId="Char5">
    <w:name w:val="脚注文本 Char"/>
    <w:basedOn w:val="a0"/>
    <w:link w:val="a9"/>
    <w:rPr>
      <w:rFonts w:ascii="宋体" w:eastAsia="宋体" w:hAnsi="宋体" w:cs="宋体"/>
      <w:kern w:val="2"/>
      <w:sz w:val="18"/>
      <w:szCs w:val="18"/>
    </w:rPr>
  </w:style>
  <w:style w:type="paragraph" w:styleId="HTML">
    <w:name w:val="HTML Preformatted"/>
    <w:basedOn w:val="a"/>
    <w:link w:val="HTMLChar"/>
    <w:pPr>
      <w:widowControl/>
      <w:jc w:val="left"/>
    </w:pPr>
    <w:rPr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Pr>
      <w:rFonts w:ascii="Courier New" w:eastAsia="宋体" w:hAnsi="Courier New" w:cs="Courier New"/>
      <w:kern w:val="2"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b">
    <w:name w:val="Title"/>
    <w:basedOn w:val="1"/>
    <w:next w:val="2"/>
    <w:link w:val="Char6"/>
    <w:uiPriority w:val="10"/>
    <w:qFormat/>
    <w:pPr>
      <w:keepNext w:val="0"/>
      <w:keepLines w:val="0"/>
      <w:spacing w:before="240" w:after="60"/>
      <w:jc w:val="center"/>
    </w:pPr>
    <w:rPr>
      <w:rFonts w:ascii="Cambria" w:hAnsi="Cambria"/>
      <w:kern w:val="0"/>
      <w:sz w:val="32"/>
      <w:szCs w:val="32"/>
    </w:rPr>
  </w:style>
  <w:style w:type="character" w:customStyle="1" w:styleId="Char6">
    <w:name w:val="标题 Char"/>
    <w:basedOn w:val="a0"/>
    <w:link w:val="ab"/>
    <w:uiPriority w:val="10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customStyle="1" w:styleId="HTMLCharChar">
    <w:name w:val="HTML 预设格式 Char Char"/>
    <w:basedOn w:val="a"/>
    <w:pPr>
      <w:widowControl/>
      <w:jc w:val="left"/>
    </w:pPr>
    <w:rPr>
      <w:kern w:val="0"/>
      <w:sz w:val="24"/>
      <w:szCs w:val="24"/>
    </w:rPr>
  </w:style>
  <w:style w:type="paragraph" w:customStyle="1" w:styleId="XBRLTitle4">
    <w:name w:val="XBRLTitle4"/>
    <w:basedOn w:val="a8"/>
    <w:next w:val="4"/>
    <w:pPr>
      <w:spacing w:beforeLines="50" w:after="0"/>
      <w:ind w:left="1588" w:hanging="794"/>
    </w:pPr>
    <w:rPr>
      <w:bCs/>
    </w:rPr>
  </w:style>
  <w:style w:type="paragraph" w:customStyle="1" w:styleId="Char7">
    <w:name w:val="普通(网站) Char"/>
    <w:basedOn w:val="a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Title5">
    <w:name w:val="XBRLTitle5"/>
    <w:basedOn w:val="a8"/>
    <w:next w:val="4"/>
    <w:pPr>
      <w:spacing w:beforeLines="50" w:after="0"/>
      <w:ind w:left="2042" w:hanging="1021"/>
    </w:pPr>
    <w:rPr>
      <w:bCs/>
    </w:rPr>
  </w:style>
  <w:style w:type="paragraph" w:customStyle="1" w:styleId="msotocheading0">
    <w:name w:val="msotocheading"/>
    <w:basedOn w:val="1"/>
    <w:next w:val="a"/>
    <w:pPr>
      <w:widowControl/>
      <w:spacing w:before="480" w:after="0" w:line="266" w:lineRule="auto"/>
      <w:jc w:val="left"/>
    </w:pPr>
    <w:rPr>
      <w:rFonts w:ascii="Cambria" w:hAnsi="Cambria"/>
      <w:color w:val="365F91"/>
      <w:kern w:val="0"/>
      <w:sz w:val="24"/>
      <w:szCs w:val="24"/>
    </w:rPr>
  </w:style>
  <w:style w:type="paragraph" w:customStyle="1" w:styleId="XBRLTitle3">
    <w:name w:val="XBRLTitle3"/>
    <w:basedOn w:val="a8"/>
    <w:next w:val="4"/>
    <w:pPr>
      <w:keepNext w:val="0"/>
      <w:keepLines w:val="0"/>
      <w:spacing w:beforeLines="50" w:after="0" w:line="360" w:lineRule="auto"/>
      <w:ind w:left="1050"/>
    </w:pPr>
    <w:rPr>
      <w:rFonts w:ascii="宋体"/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  <w:szCs w:val="24"/>
    </w:r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HTMLChar1">
    <w:name w:val="HTML 预设格式 Char1"/>
    <w:basedOn w:val="a"/>
    <w:pPr>
      <w:widowControl/>
      <w:jc w:val="left"/>
    </w:pPr>
    <w:rPr>
      <w:kern w:val="0"/>
      <w:sz w:val="24"/>
      <w:szCs w:val="24"/>
    </w:rPr>
  </w:style>
  <w:style w:type="paragraph" w:customStyle="1" w:styleId="msonormal1">
    <w:name w:val="msonormal1"/>
    <w:basedOn w:val="a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XBRL5">
    <w:name w:val="XBRL标题5"/>
    <w:basedOn w:val="a8"/>
    <w:next w:val="4"/>
    <w:pPr>
      <w:spacing w:beforeLines="50" w:after="0"/>
    </w:pPr>
    <w:rPr>
      <w:bCs/>
    </w:rPr>
  </w:style>
  <w:style w:type="paragraph" w:customStyle="1" w:styleId="XBRL1">
    <w:name w:val="XBRL标题1"/>
    <w:basedOn w:val="1"/>
    <w:next w:val="2"/>
    <w:pPr>
      <w:spacing w:beforeLines="50" w:after="0"/>
      <w:jc w:val="center"/>
    </w:pPr>
    <w:rPr>
      <w:rFonts w:ascii="Cambria" w:hAnsi="Cambria"/>
      <w:sz w:val="24"/>
      <w:szCs w:val="24"/>
    </w:rPr>
  </w:style>
  <w:style w:type="paragraph" w:customStyle="1" w:styleId="XBRL4">
    <w:name w:val="XBRL标题4"/>
    <w:basedOn w:val="a8"/>
    <w:next w:val="4"/>
    <w:pPr>
      <w:spacing w:beforeLines="50" w:after="0"/>
    </w:pPr>
    <w:rPr>
      <w:bCs/>
    </w:rPr>
  </w:style>
  <w:style w:type="paragraph" w:customStyle="1" w:styleId="XBRL6">
    <w:name w:val="XBRL标题6"/>
    <w:basedOn w:val="a8"/>
    <w:next w:val="4"/>
    <w:pPr>
      <w:spacing w:beforeLines="50" w:after="0"/>
    </w:pPr>
    <w:rPr>
      <w:bCs/>
    </w:rPr>
  </w:style>
  <w:style w:type="paragraph" w:customStyle="1" w:styleId="XBRL3">
    <w:name w:val="XBRL标题3"/>
    <w:basedOn w:val="a8"/>
    <w:next w:val="4"/>
    <w:pPr>
      <w:spacing w:beforeLines="50" w:after="0"/>
    </w:pPr>
    <w:rPr>
      <w:bCs/>
    </w:rPr>
  </w:style>
  <w:style w:type="paragraph" w:customStyle="1" w:styleId="XBRLTitle2">
    <w:name w:val="XBRLTitle2"/>
    <w:basedOn w:val="a8"/>
    <w:next w:val="4"/>
    <w:pPr>
      <w:keepNext w:val="0"/>
      <w:keepLines w:val="0"/>
      <w:spacing w:beforeLines="50" w:after="0"/>
      <w:ind w:left="3602" w:hanging="454"/>
    </w:pPr>
    <w:rPr>
      <w:rFonts w:ascii="宋体"/>
      <w:bCs/>
    </w:rPr>
  </w:style>
  <w:style w:type="paragraph" w:customStyle="1" w:styleId="ac">
    <w:name w:val="次标题"/>
    <w:basedOn w:val="3"/>
    <w:next w:val="a"/>
    <w:pPr>
      <w:spacing w:before="120" w:after="120"/>
      <w:jc w:val="left"/>
    </w:pPr>
    <w:rPr>
      <w:sz w:val="21"/>
      <w:szCs w:val="21"/>
    </w:rPr>
  </w:style>
  <w:style w:type="paragraph" w:customStyle="1" w:styleId="XBRLTitle6">
    <w:name w:val="XBRLTitle6"/>
    <w:basedOn w:val="a8"/>
    <w:next w:val="4"/>
    <w:pPr>
      <w:spacing w:beforeLines="50" w:after="0"/>
      <w:ind w:left="2042" w:hanging="1021"/>
    </w:pPr>
    <w:rPr>
      <w:bCs/>
    </w:rPr>
  </w:style>
  <w:style w:type="paragraph" w:customStyle="1" w:styleId="XBRL2">
    <w:name w:val="XBRL标题2"/>
    <w:basedOn w:val="a8"/>
    <w:next w:val="4"/>
    <w:pPr>
      <w:spacing w:beforeLines="50" w:after="0"/>
    </w:pPr>
    <w:rPr>
      <w:bCs/>
    </w:rPr>
  </w:style>
  <w:style w:type="paragraph" w:customStyle="1" w:styleId="XBRLTitle1">
    <w:name w:val="XBRLTitle1"/>
    <w:basedOn w:val="1"/>
    <w:next w:val="2"/>
    <w:pPr>
      <w:keepNext w:val="0"/>
      <w:keepLines w:val="0"/>
      <w:spacing w:beforeLines="50" w:after="0"/>
      <w:ind w:left="850" w:hanging="425"/>
      <w:jc w:val="center"/>
    </w:pPr>
    <w:rPr>
      <w:rFonts w:hAnsi="Cambria"/>
      <w:sz w:val="24"/>
      <w:szCs w:val="24"/>
    </w:rPr>
  </w:style>
  <w:style w:type="paragraph" w:customStyle="1" w:styleId="Char8">
    <w:name w:val="Char"/>
    <w:basedOn w:val="a"/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hAnsi="仿宋"/>
      <w:color w:val="000000"/>
      <w:kern w:val="0"/>
      <w:sz w:val="24"/>
      <w:szCs w:val="24"/>
    </w:rPr>
  </w:style>
  <w:style w:type="character" w:customStyle="1" w:styleId="100">
    <w:name w:val="10"/>
    <w:basedOn w:val="a0"/>
    <w:rPr>
      <w:rFonts w:ascii="Times New Roman" w:hAnsi="Times New Roman" w:cs="Times New Roman" w:hint="default"/>
    </w:rPr>
  </w:style>
  <w:style w:type="character" w:customStyle="1" w:styleId="15">
    <w:name w:val="15"/>
    <w:basedOn w:val="a0"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16">
    <w:name w:val="16"/>
    <w:basedOn w:val="a0"/>
    <w:rPr>
      <w:rFonts w:ascii="Times New Roman" w:hAnsi="Times New Roman" w:cs="Times New Roman" w:hint="default"/>
      <w:kern w:val="2"/>
      <w:sz w:val="18"/>
      <w:szCs w:val="18"/>
    </w:rPr>
  </w:style>
  <w:style w:type="character" w:customStyle="1" w:styleId="17">
    <w:name w:val="17"/>
    <w:basedOn w:val="a0"/>
    <w:rPr>
      <w:rFonts w:ascii="Times New Roman" w:hAnsi="Times New Roman" w:cs="Times New Roman" w:hint="default"/>
      <w:b/>
      <w:bCs/>
      <w:kern w:val="2"/>
      <w:sz w:val="32"/>
      <w:szCs w:val="32"/>
    </w:rPr>
  </w:style>
  <w:style w:type="character" w:customStyle="1" w:styleId="18">
    <w:name w:val="18"/>
    <w:basedOn w:val="a0"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19">
    <w:name w:val="19"/>
    <w:basedOn w:val="a0"/>
    <w:rPr>
      <w:rFonts w:ascii="Times New Roman" w:hAnsi="Times New Roman" w:cs="Times New Roman" w:hint="default"/>
      <w:kern w:val="2"/>
      <w:sz w:val="18"/>
      <w:szCs w:val="18"/>
    </w:rPr>
  </w:style>
  <w:style w:type="character" w:customStyle="1" w:styleId="200">
    <w:name w:val="20"/>
    <w:basedOn w:val="a0"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21">
    <w:name w:val="21"/>
    <w:basedOn w:val="a0"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22">
    <w:name w:val="22"/>
    <w:basedOn w:val="a0"/>
    <w:rPr>
      <w:rFonts w:ascii="Times New Roman" w:hAnsi="Times New Roman" w:cs="Times New Roman" w:hint="default"/>
      <w:kern w:val="2"/>
      <w:sz w:val="18"/>
      <w:szCs w:val="18"/>
    </w:rPr>
  </w:style>
  <w:style w:type="character" w:customStyle="1" w:styleId="23">
    <w:name w:val="23"/>
    <w:basedOn w:val="a0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24">
    <w:name w:val="24"/>
    <w:basedOn w:val="a0"/>
    <w:rPr>
      <w:rFonts w:ascii="Times New Roman" w:hAnsi="Times New Roman" w:cs="Times New Roman" w:hint="default"/>
      <w:vertAlign w:val="superscript"/>
    </w:rPr>
  </w:style>
  <w:style w:type="character" w:customStyle="1" w:styleId="25">
    <w:name w:val="25"/>
    <w:basedOn w:val="a0"/>
    <w:rPr>
      <w:rFonts w:ascii="宋体" w:eastAsia="宋体" w:hAnsi="宋体" w:hint="eastAsia"/>
      <w:kern w:val="2"/>
      <w:sz w:val="18"/>
      <w:szCs w:val="18"/>
    </w:rPr>
  </w:style>
  <w:style w:type="character" w:customStyle="1" w:styleId="26">
    <w:name w:val="26"/>
    <w:basedOn w:val="a0"/>
    <w:rPr>
      <w:rFonts w:ascii="Times New Roman" w:hAnsi="Times New Roman" w:cs="Times New Roman" w:hint="default"/>
      <w:kern w:val="2"/>
      <w:sz w:val="18"/>
      <w:szCs w:val="18"/>
    </w:rPr>
  </w:style>
  <w:style w:type="character" w:customStyle="1" w:styleId="27">
    <w:name w:val="27"/>
    <w:basedOn w:val="a0"/>
    <w:rPr>
      <w:rFonts w:ascii="Times New Roman" w:hAnsi="Times New Roman" w:cs="Times New Roman" w:hint="default"/>
    </w:rPr>
  </w:style>
  <w:style w:type="character" w:customStyle="1" w:styleId="28">
    <w:name w:val="28"/>
    <w:basedOn w:val="a0"/>
    <w:rPr>
      <w:rFonts w:ascii="宋体" w:eastAsia="宋体" w:hAnsi="宋体" w:hint="eastAsia"/>
      <w:kern w:val="2"/>
      <w:sz w:val="32"/>
      <w:szCs w:val="32"/>
    </w:rPr>
  </w:style>
  <w:style w:type="character" w:customStyle="1" w:styleId="29">
    <w:name w:val="29"/>
    <w:basedOn w:val="a0"/>
    <w:rPr>
      <w:rFonts w:ascii="Times New Roman" w:hAnsi="Times New Roman" w:cs="Times New Roman" w:hint="default"/>
      <w:color w:val="0000FF"/>
      <w:u w:val="single"/>
    </w:rPr>
  </w:style>
  <w:style w:type="character" w:customStyle="1" w:styleId="300">
    <w:name w:val="30"/>
    <w:basedOn w:val="a0"/>
    <w:rPr>
      <w:rFonts w:ascii="Times New Roman" w:hAnsi="Times New Roman" w:cs="Times New Roman" w:hint="default"/>
    </w:rPr>
  </w:style>
  <w:style w:type="character" w:customStyle="1" w:styleId="31">
    <w:name w:val="31"/>
    <w:basedOn w:val="a0"/>
    <w:rPr>
      <w:rFonts w:ascii="Times New Roman" w:hAnsi="Times New Roman" w:cs="Times New Roman" w:hint="default"/>
      <w:b/>
      <w:bCs/>
      <w:kern w:val="44"/>
      <w:sz w:val="44"/>
      <w:szCs w:val="44"/>
    </w:rPr>
  </w:style>
  <w:style w:type="character" w:customStyle="1" w:styleId="32">
    <w:name w:val="32"/>
    <w:basedOn w:val="a0"/>
    <w:rPr>
      <w:rFonts w:ascii="Times New Roman" w:hAnsi="Times New Roman" w:cs="Times New Roman" w:hint="default"/>
      <w:kern w:val="2"/>
      <w:sz w:val="18"/>
      <w:szCs w:val="18"/>
    </w:rPr>
  </w:style>
  <w:style w:type="character" w:customStyle="1" w:styleId="33">
    <w:name w:val="33"/>
    <w:basedOn w:val="a0"/>
    <w:rPr>
      <w:rFonts w:ascii="Times New Roman" w:hAnsi="Times New Roman" w:cs="Times New Roman" w:hint="default"/>
      <w:b/>
      <w:bCs/>
      <w:kern w:val="44"/>
      <w:sz w:val="44"/>
      <w:szCs w:val="44"/>
    </w:rPr>
  </w:style>
  <w:style w:type="character" w:customStyle="1" w:styleId="34">
    <w:name w:val="34"/>
    <w:basedOn w:val="a0"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35">
    <w:name w:val="35"/>
    <w:basedOn w:val="a0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36">
    <w:name w:val="36"/>
    <w:basedOn w:val="a0"/>
    <w:rPr>
      <w:rFonts w:ascii="Times New Roman" w:hAnsi="Times New Roman" w:cs="Times New Roman" w:hint="default"/>
      <w:b/>
      <w:bCs/>
      <w:kern w:val="2"/>
      <w:sz w:val="32"/>
      <w:szCs w:val="32"/>
    </w:rPr>
  </w:style>
  <w:style w:type="character" w:customStyle="1" w:styleId="37">
    <w:name w:val="37"/>
    <w:basedOn w:val="a0"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38">
    <w:name w:val="38"/>
    <w:basedOn w:val="a0"/>
    <w:rPr>
      <w:rFonts w:ascii="Microsoft YaHei UI" w:hAnsi="Microsoft YaHei UI" w:hint="default"/>
      <w:kern w:val="2"/>
      <w:sz w:val="18"/>
      <w:szCs w:val="18"/>
    </w:rPr>
  </w:style>
  <w:style w:type="character" w:customStyle="1" w:styleId="39">
    <w:name w:val="39"/>
    <w:basedOn w:val="a0"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40">
    <w:name w:val="40"/>
    <w:basedOn w:val="a0"/>
    <w:rPr>
      <w:rFonts w:ascii="Cambria" w:hAnsi="Cambria" w:cs="Times New Roman" w:hint="default"/>
      <w:b/>
      <w:bCs/>
      <w:kern w:val="24"/>
      <w:sz w:val="32"/>
      <w:szCs w:val="32"/>
    </w:rPr>
  </w:style>
  <w:style w:type="character" w:customStyle="1" w:styleId="41">
    <w:name w:val="41"/>
    <w:basedOn w:val="a0"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42">
    <w:name w:val="42"/>
    <w:basedOn w:val="a0"/>
    <w:rPr>
      <w:rFonts w:ascii="Times New Roman" w:hAnsi="Times New Roman" w:cs="Times New Roman" w:hint="default"/>
      <w:kern w:val="2"/>
      <w:sz w:val="18"/>
      <w:szCs w:val="18"/>
    </w:rPr>
  </w:style>
  <w:style w:type="character" w:customStyle="1" w:styleId="43">
    <w:name w:val="43"/>
    <w:basedOn w:val="a0"/>
    <w:rPr>
      <w:rFonts w:ascii="Cambria" w:hAnsi="Cambria" w:cs="宋体" w:hint="default"/>
      <w:b/>
      <w:bCs/>
      <w:sz w:val="32"/>
      <w:szCs w:val="32"/>
    </w:rPr>
  </w:style>
  <w:style w:type="character" w:customStyle="1" w:styleId="44">
    <w:name w:val="44"/>
    <w:basedOn w:val="a0"/>
    <w:rPr>
      <w:rFonts w:ascii="Times New Roman" w:hAnsi="Times New Roman" w:cs="Times New Roman" w:hint="default"/>
      <w:kern w:val="2"/>
      <w:sz w:val="18"/>
      <w:szCs w:val="18"/>
    </w:rPr>
  </w:style>
  <w:style w:type="character" w:customStyle="1" w:styleId="45">
    <w:name w:val="45"/>
    <w:basedOn w:val="a0"/>
    <w:rPr>
      <w:rFonts w:ascii="Times New Roman" w:hAnsi="Times New Roman" w:cs="Times New Roman" w:hint="default"/>
      <w:kern w:val="2"/>
      <w:sz w:val="18"/>
      <w:szCs w:val="18"/>
    </w:rPr>
  </w:style>
  <w:style w:type="character" w:customStyle="1" w:styleId="46">
    <w:name w:val="46"/>
    <w:basedOn w:val="a0"/>
    <w:rPr>
      <w:rFonts w:ascii="宋体" w:eastAsia="宋体" w:hAnsi="宋体" w:hint="eastAsia"/>
      <w:b/>
      <w:bCs/>
      <w:kern w:val="2"/>
      <w:sz w:val="28"/>
      <w:szCs w:val="28"/>
    </w:rPr>
  </w:style>
  <w:style w:type="character" w:customStyle="1" w:styleId="47">
    <w:name w:val="47"/>
    <w:basedOn w:val="a0"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48">
    <w:name w:val="48"/>
    <w:basedOn w:val="a0"/>
    <w:rPr>
      <w:rFonts w:ascii="Times New Roman" w:hAnsi="Times New Roman" w:cs="Times New Roman" w:hint="default"/>
      <w:kern w:val="2"/>
      <w:sz w:val="18"/>
      <w:szCs w:val="18"/>
    </w:rPr>
  </w:style>
  <w:style w:type="character" w:customStyle="1" w:styleId="49">
    <w:name w:val="49"/>
    <w:basedOn w:val="a0"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50">
    <w:name w:val="50"/>
    <w:basedOn w:val="a0"/>
    <w:rPr>
      <w:rFonts w:ascii="Times New Roman" w:hAnsi="Times New Roman" w:cs="Times New Roman" w:hint="default"/>
    </w:rPr>
  </w:style>
  <w:style w:type="character" w:customStyle="1" w:styleId="51">
    <w:name w:val="51"/>
    <w:basedOn w:val="a0"/>
    <w:rPr>
      <w:rFonts w:ascii="Cambria" w:eastAsia="宋体" w:hAnsi="Cambria" w:cs="宋体" w:hint="default"/>
      <w:b/>
      <w:bCs w:val="0"/>
      <w:kern w:val="24"/>
      <w:sz w:val="24"/>
      <w:szCs w:val="24"/>
    </w:rPr>
  </w:style>
  <w:style w:type="character" w:customStyle="1" w:styleId="52">
    <w:name w:val="52"/>
    <w:basedOn w:val="a0"/>
    <w:rPr>
      <w:rFonts w:ascii="宋体" w:eastAsia="宋体" w:hAnsi="宋体" w:hint="eastAsia"/>
      <w:kern w:val="2"/>
      <w:sz w:val="18"/>
      <w:szCs w:val="18"/>
    </w:rPr>
  </w:style>
  <w:style w:type="character" w:customStyle="1" w:styleId="53">
    <w:name w:val="53"/>
    <w:basedOn w:val="a0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54">
    <w:name w:val="54"/>
    <w:basedOn w:val="a0"/>
    <w:rPr>
      <w:rFonts w:ascii="Times New Roman" w:hAnsi="Times New Roman" w:cs="Times New Roman" w:hint="default"/>
      <w:kern w:val="2"/>
      <w:sz w:val="18"/>
      <w:szCs w:val="18"/>
    </w:rPr>
  </w:style>
  <w:style w:type="character" w:customStyle="1" w:styleId="55">
    <w:name w:val="55"/>
    <w:basedOn w:val="a0"/>
    <w:rPr>
      <w:rFonts w:ascii="Times New Roman" w:hAnsi="Times New Roman" w:cs="Times New Roman" w:hint="default"/>
      <w:kern w:val="2"/>
      <w:sz w:val="18"/>
      <w:szCs w:val="18"/>
    </w:rPr>
  </w:style>
  <w:style w:type="character" w:customStyle="1" w:styleId="56">
    <w:name w:val="56"/>
    <w:basedOn w:val="a0"/>
    <w:rPr>
      <w:rFonts w:ascii="Times New Roman" w:hAnsi="Times New Roman" w:cs="Times New Roman" w:hint="default"/>
      <w:kern w:val="2"/>
      <w:sz w:val="21"/>
      <w:szCs w:val="21"/>
    </w:rPr>
  </w:style>
  <w:style w:type="character" w:customStyle="1" w:styleId="57">
    <w:name w:val="57"/>
    <w:basedOn w:val="a0"/>
    <w:rPr>
      <w:rFonts w:ascii="Times New Roman" w:hAnsi="Times New Roman" w:cs="Times New Roman" w:hint="default"/>
      <w:color w:val="800080"/>
      <w:u w:val="single"/>
    </w:rPr>
  </w:style>
  <w:style w:type="character" w:customStyle="1" w:styleId="58">
    <w:name w:val="58"/>
    <w:basedOn w:val="a0"/>
    <w:rPr>
      <w:rFonts w:ascii="Times New Roman" w:hAnsi="Times New Roman" w:cs="Times New Roman" w:hint="default"/>
      <w:kern w:val="2"/>
      <w:sz w:val="21"/>
      <w:szCs w:val="21"/>
    </w:rPr>
  </w:style>
  <w:style w:type="character" w:customStyle="1" w:styleId="59">
    <w:name w:val="59"/>
    <w:basedOn w:val="a0"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60">
    <w:name w:val="60"/>
    <w:basedOn w:val="a0"/>
    <w:rPr>
      <w:rFonts w:ascii="Times New Roman" w:hAnsi="Times New Roman" w:cs="Times New Roman" w:hint="default"/>
      <w:kern w:val="2"/>
      <w:sz w:val="18"/>
      <w:szCs w:val="18"/>
    </w:rPr>
  </w:style>
  <w:style w:type="character" w:customStyle="1" w:styleId="61">
    <w:name w:val="61"/>
    <w:basedOn w:val="a0"/>
    <w:rPr>
      <w:rFonts w:ascii="Times New Roman" w:hAnsi="Times New Roman" w:cs="Times New Roman" w:hint="default"/>
      <w:b/>
      <w:bCs/>
      <w:kern w:val="44"/>
      <w:sz w:val="44"/>
      <w:szCs w:val="44"/>
    </w:rPr>
  </w:style>
  <w:style w:type="character" w:customStyle="1" w:styleId="62">
    <w:name w:val="62"/>
    <w:basedOn w:val="a0"/>
    <w:rPr>
      <w:rFonts w:ascii="Times New Roman" w:hAnsi="Times New Roman" w:cs="Times New Roman" w:hint="default"/>
      <w:kern w:val="2"/>
      <w:sz w:val="18"/>
      <w:szCs w:val="18"/>
    </w:rPr>
  </w:style>
  <w:style w:type="character" w:customStyle="1" w:styleId="63">
    <w:name w:val="63"/>
    <w:basedOn w:val="a0"/>
    <w:rPr>
      <w:rFonts w:ascii="Times New Roman" w:hAnsi="Times New Roman" w:cs="Times New Roman" w:hint="default"/>
      <w:kern w:val="2"/>
      <w:sz w:val="18"/>
      <w:szCs w:val="18"/>
    </w:rPr>
  </w:style>
  <w:style w:type="character" w:customStyle="1" w:styleId="64">
    <w:name w:val="64"/>
    <w:basedOn w:val="a0"/>
    <w:rPr>
      <w:rFonts w:ascii="Cambria" w:hAnsi="Cambria" w:cs="Times New Roman" w:hint="default"/>
      <w:b/>
      <w:bCs/>
      <w:kern w:val="2"/>
      <w:sz w:val="32"/>
      <w:szCs w:val="32"/>
    </w:rPr>
  </w:style>
  <w:style w:type="table" w:styleId="ad">
    <w:name w:val="Table Grid"/>
    <w:basedOn w:val="a1"/>
    <w:uiPriority w:val="99"/>
    <w:unhideWhenUsed/>
    <w:rPr>
      <w:rFonts w:ascii="宋体" w:eastAsia="宋体" w:hAnsi="宋体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1064</Characters>
  <Application>Microsoft Office Word</Application>
  <DocSecurity>4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2024-04-10T16:01:00Z</dcterms:created>
  <dcterms:modified xsi:type="dcterms:W3CDTF">2024-04-10T16:01:00Z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37EB6E4EA2C046609E280F9DD2AC0632</vt:lpwstr>
  </property>
</Properties>
</file>