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9D" w:rsidRDefault="008B53D1">
      <w:pPr>
        <w:spacing w:after="280"/>
      </w:pPr>
      <w:r>
        <w:t> </w:t>
      </w:r>
    </w:p>
    <w:p w:rsidR="0036799D" w:rsidRDefault="008B53D1">
      <w:pPr>
        <w:spacing w:before="280" w:after="280"/>
      </w:pPr>
      <w:r>
        <w:t> </w:t>
      </w:r>
    </w:p>
    <w:p w:rsidR="0036799D" w:rsidRDefault="008B53D1">
      <w:pPr>
        <w:spacing w:before="280" w:after="280"/>
      </w:pPr>
      <w:r>
        <w:t> </w:t>
      </w:r>
    </w:p>
    <w:p w:rsidR="0036799D" w:rsidRDefault="008B53D1">
      <w:pPr>
        <w:spacing w:before="280" w:after="280"/>
        <w:jc w:val="center"/>
        <w:rPr>
          <w:rFonts w:ascii="宋体" w:eastAsia="宋体" w:cs="宋体"/>
          <w:sz w:val="48"/>
          <w:szCs w:val="48"/>
        </w:rPr>
      </w:pPr>
      <w:r>
        <w:rPr>
          <w:rFonts w:ascii="宋体" w:eastAsia="宋体" w:cs="宋体"/>
          <w:b/>
          <w:bCs/>
          <w:sz w:val="48"/>
          <w:szCs w:val="48"/>
        </w:rPr>
        <w:t>鹏华产业债债券型证券投资基金A类基金份额调整大额申购、转换转入和定期定额投资业务的公告</w:t>
      </w:r>
    </w:p>
    <w:p w:rsidR="0036799D" w:rsidRDefault="008B53D1">
      <w:pPr>
        <w:spacing w:before="280" w:after="280"/>
        <w:jc w:val="center"/>
      </w:pPr>
      <w:r>
        <w:t> </w:t>
      </w:r>
    </w:p>
    <w:p w:rsidR="0036799D" w:rsidRDefault="008B53D1">
      <w:pPr>
        <w:spacing w:before="280" w:after="280"/>
        <w:jc w:val="center"/>
      </w:pPr>
      <w:r>
        <w:t> </w:t>
      </w:r>
    </w:p>
    <w:p w:rsidR="0036799D" w:rsidRDefault="008B53D1">
      <w:pPr>
        <w:spacing w:before="280" w:after="280"/>
        <w:jc w:val="center"/>
      </w:pPr>
      <w:r>
        <w:t> </w:t>
      </w:r>
    </w:p>
    <w:p w:rsidR="0036799D" w:rsidRDefault="008B53D1">
      <w:pPr>
        <w:spacing w:before="280" w:after="280"/>
        <w:jc w:val="center"/>
      </w:pPr>
      <w:r>
        <w:t> </w:t>
      </w:r>
    </w:p>
    <w:p w:rsidR="0036799D" w:rsidRDefault="008B53D1">
      <w:pPr>
        <w:spacing w:before="280" w:after="280"/>
        <w:jc w:val="center"/>
      </w:pPr>
      <w:r>
        <w:t> </w:t>
      </w:r>
    </w:p>
    <w:p w:rsidR="0036799D" w:rsidRDefault="008B53D1">
      <w:pPr>
        <w:spacing w:before="280" w:after="280"/>
      </w:pPr>
      <w:r>
        <w:t> </w:t>
      </w:r>
    </w:p>
    <w:p w:rsidR="0036799D" w:rsidRDefault="008B53D1">
      <w:pPr>
        <w:spacing w:before="280" w:after="280"/>
      </w:pPr>
      <w:r>
        <w:t> </w:t>
      </w:r>
    </w:p>
    <w:p w:rsidR="0036799D" w:rsidRDefault="008B53D1">
      <w:pPr>
        <w:spacing w:before="280" w:after="280"/>
      </w:pPr>
      <w:r>
        <w:t> </w:t>
      </w:r>
    </w:p>
    <w:p w:rsidR="0036799D" w:rsidRDefault="008B53D1">
      <w:pPr>
        <w:spacing w:before="280" w:after="280"/>
      </w:pPr>
      <w:r>
        <w:t> </w:t>
      </w:r>
    </w:p>
    <w:p w:rsidR="0036799D" w:rsidRDefault="008B53D1">
      <w:pPr>
        <w:spacing w:before="280" w:after="280"/>
      </w:pPr>
      <w:r>
        <w:t> </w:t>
      </w:r>
    </w:p>
    <w:p w:rsidR="0036799D" w:rsidRDefault="008B53D1">
      <w:pPr>
        <w:spacing w:before="280" w:after="280"/>
      </w:pPr>
      <w:r>
        <w:t> </w:t>
      </w:r>
    </w:p>
    <w:p w:rsidR="0036799D" w:rsidRDefault="008B53D1">
      <w:pPr>
        <w:spacing w:before="280" w:after="280"/>
      </w:pPr>
      <w:r>
        <w:t> </w:t>
      </w:r>
    </w:p>
    <w:p w:rsidR="0036799D" w:rsidRDefault="008B53D1">
      <w:pPr>
        <w:spacing w:before="280" w:after="280"/>
      </w:pPr>
      <w:r>
        <w:t> </w:t>
      </w:r>
    </w:p>
    <w:p w:rsidR="0036799D" w:rsidRDefault="008B53D1">
      <w:pPr>
        <w:spacing w:before="280" w:after="280"/>
      </w:pPr>
      <w:r>
        <w:t> </w:t>
      </w:r>
    </w:p>
    <w:p w:rsidR="0036799D" w:rsidRDefault="008B53D1">
      <w:pPr>
        <w:spacing w:before="280" w:after="280"/>
        <w:ind w:left="2100" w:firstLine="420"/>
        <w:rPr>
          <w:sz w:val="28"/>
          <w:szCs w:val="28"/>
        </w:rPr>
      </w:pPr>
      <w:r>
        <w:rPr>
          <w:rFonts w:ascii="宋体" w:eastAsia="宋体" w:cs="宋体"/>
          <w:b/>
          <w:bCs/>
          <w:sz w:val="28"/>
          <w:szCs w:val="28"/>
        </w:rPr>
        <w:t>公告送出日期：2024年04月10日</w:t>
      </w:r>
    </w:p>
    <w:p w:rsidR="0036799D" w:rsidRDefault="008B53D1">
      <w:pPr>
        <w:spacing w:before="280" w:after="280"/>
      </w:pPr>
      <w:r>
        <w:t> </w:t>
      </w:r>
    </w:p>
    <w:p w:rsidR="0036799D" w:rsidRDefault="008B53D1">
      <w:pPr>
        <w:spacing w:before="280" w:after="280"/>
      </w:pPr>
      <w:r>
        <w:t> </w:t>
      </w:r>
    </w:p>
    <w:p w:rsidR="0036799D" w:rsidRPr="00DD2AD0" w:rsidRDefault="008B53D1">
      <w:pPr>
        <w:spacing w:before="280" w:after="280"/>
        <w:rPr>
          <w:rFonts w:eastAsiaTheme="minorEastAsia"/>
        </w:rPr>
      </w:pPr>
      <w:r>
        <w:t> </w:t>
      </w:r>
    </w:p>
    <w:p w:rsidR="0036799D" w:rsidRDefault="008B53D1" w:rsidP="00DD2AD0">
      <w:pPr>
        <w:spacing w:line="360" w:lineRule="auto"/>
      </w:pPr>
      <w:r>
        <w:rPr>
          <w:rFonts w:ascii="宋体" w:eastAsia="宋体" w:cs="宋体"/>
          <w:b/>
          <w:bCs/>
        </w:rPr>
        <w:lastRenderedPageBreak/>
        <w:t>1公告基本信息</w:t>
      </w: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000"/>
      </w:tblPr>
      <w:tblGrid>
        <w:gridCol w:w="3001"/>
        <w:gridCol w:w="2231"/>
        <w:gridCol w:w="2616"/>
      </w:tblGrid>
      <w:tr w:rsidR="0036799D" w:rsidTr="00DD2AD0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基金名称</w:t>
            </w:r>
          </w:p>
        </w:tc>
        <w:tc>
          <w:tcPr>
            <w:tcW w:w="4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鹏华产业债债券型证券投资基金</w:t>
            </w:r>
          </w:p>
        </w:tc>
      </w:tr>
      <w:tr w:rsidR="0036799D" w:rsidTr="00DD2AD0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基金简称</w:t>
            </w:r>
          </w:p>
        </w:tc>
        <w:tc>
          <w:tcPr>
            <w:tcW w:w="4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鹏华产业债债券</w:t>
            </w:r>
          </w:p>
        </w:tc>
      </w:tr>
      <w:tr w:rsidR="0036799D" w:rsidTr="00DD2AD0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基金主代码</w:t>
            </w:r>
          </w:p>
        </w:tc>
        <w:tc>
          <w:tcPr>
            <w:tcW w:w="4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206018</w:t>
            </w:r>
          </w:p>
        </w:tc>
      </w:tr>
      <w:tr w:rsidR="0036799D" w:rsidTr="00DD2AD0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基金管理人名称</w:t>
            </w:r>
          </w:p>
        </w:tc>
        <w:tc>
          <w:tcPr>
            <w:tcW w:w="4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鹏华基金管理有限公司</w:t>
            </w:r>
          </w:p>
        </w:tc>
      </w:tr>
      <w:tr w:rsidR="0036799D" w:rsidTr="00DD2AD0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公告依据</w:t>
            </w:r>
          </w:p>
        </w:tc>
        <w:tc>
          <w:tcPr>
            <w:tcW w:w="4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《鹏华产业债债券型证券投资基金基金合同》（以下简称</w:t>
            </w:r>
            <w:r>
              <w:rPr>
                <w:rFonts w:ascii="宋体" w:eastAsia="宋体" w:cs="宋体"/>
                <w:sz w:val="21"/>
                <w:szCs w:val="21"/>
              </w:rPr>
              <w:t>“</w:t>
            </w:r>
            <w:r>
              <w:rPr>
                <w:rFonts w:ascii="宋体" w:eastAsia="宋体" w:cs="宋体"/>
                <w:sz w:val="21"/>
                <w:szCs w:val="21"/>
              </w:rPr>
              <w:t>基金合同</w:t>
            </w:r>
            <w:r>
              <w:rPr>
                <w:rFonts w:ascii="宋体" w:eastAsia="宋体" w:cs="宋体"/>
                <w:sz w:val="21"/>
                <w:szCs w:val="21"/>
              </w:rPr>
              <w:t>”</w:t>
            </w:r>
            <w:r>
              <w:rPr>
                <w:rFonts w:ascii="宋体" w:eastAsia="宋体" w:cs="宋体"/>
                <w:sz w:val="21"/>
                <w:szCs w:val="21"/>
              </w:rPr>
              <w:t>）、《鹏华产业债债券型证券投资基金招募说明书》及其更新（以下简称</w:t>
            </w:r>
            <w:r>
              <w:rPr>
                <w:rFonts w:ascii="宋体" w:eastAsia="宋体" w:cs="宋体"/>
                <w:sz w:val="21"/>
                <w:szCs w:val="21"/>
              </w:rPr>
              <w:t>“</w:t>
            </w:r>
            <w:r>
              <w:rPr>
                <w:rFonts w:ascii="宋体" w:eastAsia="宋体" w:cs="宋体"/>
                <w:sz w:val="21"/>
                <w:szCs w:val="21"/>
              </w:rPr>
              <w:t>招募说明书</w:t>
            </w:r>
            <w:r>
              <w:rPr>
                <w:rFonts w:ascii="宋体" w:eastAsia="宋体" w:cs="宋体"/>
                <w:sz w:val="21"/>
                <w:szCs w:val="21"/>
              </w:rPr>
              <w:t>”</w:t>
            </w:r>
            <w:r>
              <w:rPr>
                <w:rFonts w:ascii="宋体" w:eastAsia="宋体" w:cs="宋体"/>
                <w:sz w:val="21"/>
                <w:szCs w:val="21"/>
              </w:rPr>
              <w:t>）</w:t>
            </w:r>
          </w:p>
        </w:tc>
      </w:tr>
      <w:tr w:rsidR="0036799D" w:rsidTr="00DD2AD0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调整大额申购起始日</w:t>
            </w:r>
          </w:p>
        </w:tc>
        <w:tc>
          <w:tcPr>
            <w:tcW w:w="4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2024年04月11日</w:t>
            </w:r>
          </w:p>
        </w:tc>
      </w:tr>
      <w:tr w:rsidR="0036799D" w:rsidTr="00DD2AD0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调整大额转换转入起始日</w:t>
            </w:r>
          </w:p>
        </w:tc>
        <w:tc>
          <w:tcPr>
            <w:tcW w:w="4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2024年04月11日</w:t>
            </w:r>
          </w:p>
        </w:tc>
      </w:tr>
      <w:tr w:rsidR="0036799D" w:rsidTr="00DD2AD0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调整大额定期定额投资起始日</w:t>
            </w:r>
          </w:p>
        </w:tc>
        <w:tc>
          <w:tcPr>
            <w:tcW w:w="4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2024年04月11日</w:t>
            </w:r>
          </w:p>
        </w:tc>
      </w:tr>
      <w:tr w:rsidR="0036799D" w:rsidTr="00DD2AD0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调整大额申购（转换转入、定期定额投资）的原因说明</w:t>
            </w:r>
          </w:p>
        </w:tc>
        <w:tc>
          <w:tcPr>
            <w:tcW w:w="4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保护基金份额持有人利益</w:t>
            </w:r>
          </w:p>
        </w:tc>
      </w:tr>
      <w:tr w:rsidR="0036799D" w:rsidTr="00DD2AD0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下属基金份额类别的基金简称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鹏华产业债债券A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鹏华产业债债券C</w:t>
            </w:r>
          </w:p>
        </w:tc>
      </w:tr>
      <w:tr w:rsidR="0036799D" w:rsidTr="00DD2AD0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下属基金份额类别的基金代码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206018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019302</w:t>
            </w:r>
          </w:p>
        </w:tc>
      </w:tr>
      <w:tr w:rsidR="0036799D" w:rsidTr="00DD2AD0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该类基金份额是否调整大额申购（转换转入、定期定额投资）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是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否</w:t>
            </w:r>
          </w:p>
        </w:tc>
      </w:tr>
      <w:tr w:rsidR="0036799D" w:rsidTr="00DD2AD0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该类基金份额的限制申购大额申购（转换转入、定期定额投资）金额</w:t>
            </w:r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1,000,000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</w:tcPr>
          <w:p w:rsidR="0036799D" w:rsidRDefault="008B53D1" w:rsidP="00DD2AD0">
            <w:pPr>
              <w:jc w:val="both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sz w:val="21"/>
                <w:szCs w:val="21"/>
              </w:rPr>
              <w:t>-</w:t>
            </w:r>
          </w:p>
        </w:tc>
      </w:tr>
    </w:tbl>
    <w:p w:rsidR="0036799D" w:rsidRDefault="008B53D1" w:rsidP="00F13168">
      <w:pPr>
        <w:spacing w:beforeLines="100" w:line="360" w:lineRule="auto"/>
      </w:pPr>
      <w:r>
        <w:rPr>
          <w:rFonts w:ascii="宋体" w:eastAsia="宋体" w:cs="宋体"/>
          <w:b/>
          <w:bCs/>
        </w:rPr>
        <w:t>2其他需要提示的事项</w:t>
      </w:r>
    </w:p>
    <w:p w:rsidR="0036799D" w:rsidRPr="00DD2AD0" w:rsidRDefault="008B53D1">
      <w:pPr>
        <w:spacing w:line="360" w:lineRule="auto"/>
        <w:ind w:firstLine="420"/>
        <w:jc w:val="both"/>
        <w:rPr>
          <w:rFonts w:ascii="宋体" w:eastAsia="宋体" w:hAnsi="宋体" w:cs="宋体"/>
          <w:sz w:val="21"/>
          <w:szCs w:val="21"/>
        </w:rPr>
      </w:pPr>
      <w:r w:rsidRPr="00DD2AD0">
        <w:rPr>
          <w:rFonts w:ascii="宋体" w:eastAsia="宋体" w:hAnsi="宋体" w:cs="宋体"/>
          <w:sz w:val="21"/>
          <w:szCs w:val="21"/>
        </w:rPr>
        <w:t>（1）鹏华产业债债券型证券投资基金（以下简称“本基金”）A类基金份额自2024年04月11日起，单日单个基金账户累计申购、转换转入、定期定额投资金额限额由500万元调整为100万元。如某笔申请将导致单日单个基金账户累计申购、转换转入、定期定额投资本基金A类基金份额金额超过100万元（不含100万元），本基金管理人将有权拒绝该笔申请。本基金C类基金份额不受上述申购金额限制。</w:t>
      </w:r>
    </w:p>
    <w:p w:rsidR="0036799D" w:rsidRPr="00DD2AD0" w:rsidRDefault="008B53D1">
      <w:pPr>
        <w:spacing w:line="360" w:lineRule="auto"/>
        <w:ind w:firstLine="420"/>
        <w:jc w:val="both"/>
        <w:rPr>
          <w:rFonts w:ascii="宋体" w:eastAsia="宋体" w:hAnsi="宋体" w:cs="宋体"/>
          <w:sz w:val="21"/>
          <w:szCs w:val="21"/>
        </w:rPr>
      </w:pPr>
      <w:r w:rsidRPr="00DD2AD0">
        <w:rPr>
          <w:rFonts w:ascii="宋体" w:eastAsia="宋体" w:hAnsi="宋体" w:cs="宋体"/>
          <w:sz w:val="21"/>
          <w:szCs w:val="21"/>
        </w:rPr>
        <w:t>（2）在暂停大额申购、转换转入、定期定额投资业务期间，赎回和转换转出等其他业务仍照常办理。恢复办理本基金A类基金份额的大额申购、转换转入、定期定额投资业务或调整上述业务限制，基金管理人届时将另行公告。</w:t>
      </w:r>
    </w:p>
    <w:p w:rsidR="0036799D" w:rsidRPr="00DD2AD0" w:rsidRDefault="008B53D1">
      <w:pPr>
        <w:spacing w:line="360" w:lineRule="auto"/>
        <w:ind w:firstLine="420"/>
        <w:jc w:val="both"/>
        <w:rPr>
          <w:rFonts w:ascii="宋体" w:eastAsia="宋体" w:hAnsi="宋体" w:cs="宋体"/>
          <w:sz w:val="21"/>
          <w:szCs w:val="21"/>
        </w:rPr>
      </w:pPr>
      <w:r w:rsidRPr="00DD2AD0">
        <w:rPr>
          <w:rFonts w:ascii="宋体" w:eastAsia="宋体" w:hAnsi="宋体" w:cs="宋体"/>
          <w:sz w:val="21"/>
          <w:szCs w:val="21"/>
        </w:rPr>
        <w:t>（3）投资者可登录本基金管理人网站（www.phfund.com.cn），或拨打客户服务电话（400-6788-533）咨询相关信息。</w:t>
      </w:r>
    </w:p>
    <w:p w:rsidR="0036799D" w:rsidRPr="00DD2AD0" w:rsidRDefault="008B53D1">
      <w:pPr>
        <w:spacing w:line="360" w:lineRule="auto"/>
        <w:ind w:firstLine="420"/>
        <w:rPr>
          <w:rFonts w:ascii="宋体" w:eastAsia="宋体" w:hAnsi="宋体"/>
          <w:sz w:val="21"/>
          <w:szCs w:val="21"/>
        </w:rPr>
      </w:pPr>
      <w:r w:rsidRPr="00DD2AD0">
        <w:rPr>
          <w:rFonts w:ascii="宋体" w:eastAsia="宋体" w:hAnsi="宋体"/>
          <w:sz w:val="21"/>
          <w:szCs w:val="21"/>
        </w:rPr>
        <w:t> </w:t>
      </w:r>
    </w:p>
    <w:p w:rsidR="0036799D" w:rsidRPr="00DD2AD0" w:rsidRDefault="008B53D1">
      <w:pPr>
        <w:spacing w:line="360" w:lineRule="auto"/>
        <w:ind w:firstLine="420"/>
        <w:rPr>
          <w:rFonts w:ascii="宋体" w:eastAsia="宋体" w:hAnsi="宋体"/>
          <w:sz w:val="21"/>
          <w:szCs w:val="21"/>
        </w:rPr>
      </w:pPr>
      <w:r w:rsidRPr="00DD2AD0">
        <w:rPr>
          <w:rFonts w:ascii="宋体" w:eastAsia="宋体" w:hAnsi="宋体" w:cs="宋体"/>
          <w:sz w:val="21"/>
          <w:szCs w:val="21"/>
        </w:rPr>
        <w:t>风险提示：本公司承诺以诚实信用、勤勉尽责的原则管理和运用基金资产，但不保证基金一定盈利，也不保证最低收益，敬请投资者注意投资风险。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DD2AD0">
        <w:rPr>
          <w:rFonts w:ascii="宋体" w:eastAsia="宋体" w:hAnsi="宋体" w:cs="宋体"/>
          <w:sz w:val="21"/>
          <w:szCs w:val="21"/>
        </w:rPr>
        <w:lastRenderedPageBreak/>
        <w:t>投资者投资于本基金前应认真阅读本基金的基金合同、招募</w:t>
      </w:r>
      <w:bookmarkStart w:id="0" w:name="_GoBack"/>
      <w:bookmarkEnd w:id="0"/>
      <w:r w:rsidRPr="00DD2AD0">
        <w:rPr>
          <w:rFonts w:ascii="宋体" w:eastAsia="宋体" w:hAnsi="宋体" w:cs="宋体"/>
          <w:sz w:val="21"/>
          <w:szCs w:val="21"/>
        </w:rPr>
        <w:t>说明书(更新)、基金产品资料概要（更新）等文件，并根据自身风险承受能力选择适合自己的基金产品。</w:t>
      </w:r>
    </w:p>
    <w:p w:rsidR="0036799D" w:rsidRPr="00DD2AD0" w:rsidRDefault="008B53D1">
      <w:pPr>
        <w:spacing w:line="360" w:lineRule="auto"/>
        <w:ind w:firstLine="420"/>
        <w:rPr>
          <w:rFonts w:ascii="宋体" w:eastAsia="宋体" w:hAnsi="宋体"/>
          <w:sz w:val="21"/>
          <w:szCs w:val="21"/>
        </w:rPr>
      </w:pPr>
      <w:r w:rsidRPr="00DD2AD0">
        <w:rPr>
          <w:rFonts w:ascii="宋体" w:eastAsia="宋体" w:hAnsi="宋体" w:cs="宋体"/>
          <w:sz w:val="21"/>
          <w:szCs w:val="21"/>
        </w:rPr>
        <w:t>特此公告。</w:t>
      </w:r>
    </w:p>
    <w:p w:rsidR="0036799D" w:rsidRPr="00DD2AD0" w:rsidRDefault="008B53D1">
      <w:pPr>
        <w:spacing w:before="280" w:after="280" w:line="360" w:lineRule="auto"/>
        <w:rPr>
          <w:rFonts w:ascii="宋体" w:eastAsia="宋体" w:hAnsi="宋体"/>
        </w:rPr>
      </w:pPr>
      <w:r w:rsidRPr="00DD2AD0">
        <w:rPr>
          <w:rFonts w:ascii="宋体" w:eastAsia="宋体" w:hAnsi="宋体"/>
        </w:rPr>
        <w:t> </w:t>
      </w:r>
    </w:p>
    <w:p w:rsidR="0036799D" w:rsidRPr="00DD2AD0" w:rsidRDefault="008B53D1">
      <w:pPr>
        <w:spacing w:line="360" w:lineRule="auto"/>
        <w:jc w:val="right"/>
        <w:rPr>
          <w:rFonts w:ascii="宋体" w:eastAsia="宋体" w:hAnsi="宋体" w:cs="宋体"/>
          <w:sz w:val="21"/>
          <w:szCs w:val="21"/>
        </w:rPr>
      </w:pPr>
      <w:r w:rsidRPr="00DD2AD0">
        <w:rPr>
          <w:rFonts w:ascii="宋体" w:eastAsia="宋体" w:hAnsi="宋体" w:cs="宋体"/>
          <w:sz w:val="21"/>
          <w:szCs w:val="21"/>
        </w:rPr>
        <w:t>鹏华基金管理有限公司</w:t>
      </w:r>
    </w:p>
    <w:p w:rsidR="0036799D" w:rsidRPr="00DD2AD0" w:rsidRDefault="008B53D1">
      <w:pPr>
        <w:spacing w:line="360" w:lineRule="auto"/>
        <w:jc w:val="right"/>
        <w:rPr>
          <w:rFonts w:ascii="宋体" w:eastAsia="宋体" w:hAnsi="宋体" w:cs="宋体"/>
          <w:sz w:val="21"/>
          <w:szCs w:val="21"/>
        </w:rPr>
      </w:pPr>
      <w:r w:rsidRPr="00DD2AD0">
        <w:rPr>
          <w:rFonts w:ascii="宋体" w:eastAsia="宋体" w:hAnsi="宋体" w:cs="宋体"/>
          <w:sz w:val="21"/>
          <w:szCs w:val="21"/>
        </w:rPr>
        <w:t>2024年04月10日</w:t>
      </w:r>
    </w:p>
    <w:p w:rsidR="0036799D" w:rsidRPr="00DD2AD0" w:rsidRDefault="008B53D1">
      <w:pPr>
        <w:rPr>
          <w:rFonts w:ascii="宋体" w:eastAsia="宋体" w:hAnsi="宋体"/>
        </w:rPr>
      </w:pPr>
      <w:r w:rsidRPr="00DD2AD0">
        <w:rPr>
          <w:rFonts w:ascii="宋体" w:eastAsia="宋体" w:hAnsi="宋体"/>
        </w:rPr>
        <w:t> </w:t>
      </w:r>
    </w:p>
    <w:p w:rsidR="0036799D" w:rsidRPr="00DD2AD0" w:rsidRDefault="0036799D">
      <w:pPr>
        <w:rPr>
          <w:rFonts w:ascii="宋体" w:eastAsia="宋体" w:hAnsi="宋体"/>
        </w:rPr>
      </w:pPr>
    </w:p>
    <w:sectPr w:rsidR="0036799D" w:rsidRPr="00DD2AD0" w:rsidSect="00876BE3">
      <w:footerReference w:type="default" r:id="rId6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3D1" w:rsidRDefault="008B53D1">
      <w:r>
        <w:separator/>
      </w:r>
    </w:p>
  </w:endnote>
  <w:endnote w:type="continuationSeparator" w:id="0">
    <w:p w:rsidR="008B53D1" w:rsidRDefault="008B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xi Sans">
    <w:altName w:val="Arial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9D" w:rsidRDefault="00876BE3">
    <w:pPr>
      <w:jc w:val="center"/>
    </w:pPr>
    <w:r>
      <w:rPr>
        <w:rFonts w:ascii="宋体" w:eastAsia="宋体" w:cs="宋体"/>
        <w:sz w:val="18"/>
      </w:rPr>
      <w:fldChar w:fldCharType="begin"/>
    </w:r>
    <w:r w:rsidR="008B53D1">
      <w:rPr>
        <w:rFonts w:ascii="宋体" w:eastAsia="宋体" w:cs="宋体"/>
        <w:sz w:val="18"/>
      </w:rPr>
      <w:instrText xml:space="preserve"> PAGE </w:instrText>
    </w:r>
    <w:r>
      <w:rPr>
        <w:rFonts w:ascii="宋体" w:eastAsia="宋体" w:cs="宋体"/>
        <w:sz w:val="18"/>
      </w:rPr>
      <w:fldChar w:fldCharType="separate"/>
    </w:r>
    <w:r w:rsidR="00F13168">
      <w:rPr>
        <w:rFonts w:ascii="宋体" w:eastAsia="宋体" w:cs="宋体"/>
        <w:noProof/>
        <w:sz w:val="18"/>
      </w:rPr>
      <w:t>1</w:t>
    </w:r>
    <w:r>
      <w:rPr>
        <w:rFonts w:ascii="宋体" w:eastAsia="宋体" w:cs="宋体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3D1" w:rsidRDefault="008B53D1">
      <w:r>
        <w:separator/>
      </w:r>
    </w:p>
  </w:footnote>
  <w:footnote w:type="continuationSeparator" w:id="0">
    <w:p w:rsidR="008B53D1" w:rsidRDefault="008B5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rawingGridVerticalSpacing w:val="16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growAutofit/>
    <w:useFELayout/>
    <w:doNotUseIndentAsNumberingTabStop/>
    <w:useAltKinsokuLineBreakRules/>
    <w:splitPgBreakAndParaMark/>
  </w:compat>
  <w:rsids>
    <w:rsidRoot w:val="0036799D"/>
    <w:rsid w:val="0036799D"/>
    <w:rsid w:val="00876BE3"/>
    <w:rsid w:val="008B53D1"/>
    <w:rsid w:val="00DD2AD0"/>
    <w:rsid w:val="00F1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6BE3"/>
    <w:rPr>
      <w:rFonts w:eastAsia="Times New Roman"/>
      <w:sz w:val="24"/>
      <w:szCs w:val="24"/>
    </w:rPr>
  </w:style>
  <w:style w:type="paragraph" w:styleId="1">
    <w:name w:val="heading 1"/>
    <w:basedOn w:val="a"/>
    <w:next w:val="a"/>
    <w:rsid w:val="00876BE3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876BE3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876BE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rsid w:val="00876BE3"/>
    <w:pPr>
      <w:spacing w:line="360" w:lineRule="auto"/>
    </w:pPr>
    <w:rPr>
      <w:rFonts w:ascii="宋体" w:eastAsia="宋体" w:cs="宋体"/>
      <w:b/>
      <w:sz w:val="21"/>
    </w:rPr>
  </w:style>
  <w:style w:type="paragraph" w:styleId="20">
    <w:name w:val="toc 2"/>
    <w:basedOn w:val="a"/>
    <w:next w:val="a"/>
    <w:autoRedefine/>
    <w:rsid w:val="00876BE3"/>
    <w:pPr>
      <w:ind w:left="420"/>
    </w:pPr>
  </w:style>
  <w:style w:type="paragraph" w:styleId="30">
    <w:name w:val="toc 3"/>
    <w:basedOn w:val="a"/>
    <w:next w:val="a"/>
    <w:autoRedefine/>
    <w:rsid w:val="00876BE3"/>
    <w:pPr>
      <w:ind w:left="840"/>
    </w:pPr>
  </w:style>
  <w:style w:type="paragraph" w:styleId="4">
    <w:name w:val="toc 4"/>
    <w:basedOn w:val="a"/>
    <w:next w:val="a"/>
    <w:autoRedefine/>
    <w:rsid w:val="00876BE3"/>
    <w:pPr>
      <w:ind w:left="1260"/>
    </w:pPr>
  </w:style>
  <w:style w:type="paragraph" w:styleId="5">
    <w:name w:val="toc 5"/>
    <w:basedOn w:val="a"/>
    <w:next w:val="a"/>
    <w:autoRedefine/>
    <w:rsid w:val="00876BE3"/>
    <w:pPr>
      <w:ind w:left="1680"/>
    </w:pPr>
  </w:style>
  <w:style w:type="paragraph" w:styleId="a3">
    <w:name w:val="header"/>
    <w:basedOn w:val="a"/>
    <w:rsid w:val="00876BE3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876BE3"/>
    <w:pPr>
      <w:tabs>
        <w:tab w:val="center" w:pos="4153"/>
        <w:tab w:val="right" w:pos="8307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DD2AD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2AD0"/>
    <w:rPr>
      <w:rFonts w:eastAsia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972</Characters>
  <Application>Microsoft Office Word</Application>
  <DocSecurity>4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2024-04-09T16:02:00Z</dcterms:created>
  <dcterms:modified xsi:type="dcterms:W3CDTF">2024-04-09T16:02:00Z</dcterms:modified>
</cp:coreProperties>
</file>