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AA" w:rsidRDefault="003F6DAA"/>
    <w:p w:rsidR="003F6DAA" w:rsidRDefault="00E74038">
      <w:pPr>
        <w:jc w:val="center"/>
        <w:rPr>
          <w:rFonts w:ascii="宋体" w:eastAsia="宋体" w:hAnsi="宋体"/>
          <w:b/>
          <w:sz w:val="28"/>
        </w:rPr>
      </w:pPr>
      <w:r>
        <w:rPr>
          <w:rFonts w:ascii="宋体" w:eastAsia="宋体" w:hAnsi="宋体" w:hint="eastAsia"/>
          <w:b/>
          <w:sz w:val="28"/>
        </w:rPr>
        <w:t>博时信用债纯债债券型证券投资基金分红公告</w:t>
      </w:r>
    </w:p>
    <w:p w:rsidR="003F6DAA" w:rsidRDefault="00E74038">
      <w:pPr>
        <w:jc w:val="center"/>
        <w:rPr>
          <w:rFonts w:ascii="宋体" w:eastAsia="宋体" w:hAnsi="宋体"/>
          <w:b/>
          <w:sz w:val="24"/>
        </w:rPr>
      </w:pPr>
      <w:r>
        <w:rPr>
          <w:rFonts w:ascii="宋体" w:eastAsia="宋体" w:hAnsi="宋体" w:hint="eastAsia"/>
          <w:b/>
          <w:sz w:val="24"/>
        </w:rPr>
        <w:t>公告送出日期：</w:t>
      </w:r>
      <w:r>
        <w:rPr>
          <w:rFonts w:ascii="宋体" w:eastAsia="宋体" w:hAnsi="宋体" w:hint="eastAsia"/>
          <w:b/>
          <w:sz w:val="24"/>
        </w:rPr>
        <w:t>2024</w:t>
      </w:r>
      <w:r>
        <w:rPr>
          <w:rFonts w:ascii="宋体" w:eastAsia="宋体" w:hAnsi="宋体" w:hint="eastAsia"/>
          <w:b/>
          <w:sz w:val="24"/>
        </w:rPr>
        <w:t>年</w:t>
      </w:r>
      <w:r>
        <w:rPr>
          <w:rFonts w:ascii="宋体" w:eastAsia="宋体" w:hAnsi="宋体" w:hint="eastAsia"/>
          <w:b/>
          <w:sz w:val="24"/>
        </w:rPr>
        <w:t>4</w:t>
      </w:r>
      <w:r>
        <w:rPr>
          <w:rFonts w:ascii="宋体" w:eastAsia="宋体" w:hAnsi="宋体" w:hint="eastAsia"/>
          <w:b/>
          <w:sz w:val="24"/>
        </w:rPr>
        <w:t>月</w:t>
      </w:r>
      <w:r>
        <w:rPr>
          <w:rFonts w:ascii="宋体" w:eastAsia="宋体" w:hAnsi="宋体" w:hint="eastAsia"/>
          <w:b/>
          <w:sz w:val="24"/>
        </w:rPr>
        <w:t>10</w:t>
      </w:r>
      <w:r>
        <w:rPr>
          <w:rFonts w:ascii="宋体" w:eastAsia="宋体" w:hAnsi="宋体" w:hint="eastAsia"/>
          <w:b/>
          <w:sz w:val="24"/>
        </w:rPr>
        <w:t>日</w:t>
      </w:r>
    </w:p>
    <w:p w:rsidR="003F6DAA" w:rsidRDefault="003F6DAA">
      <w:pPr>
        <w:jc w:val="center"/>
        <w:rPr>
          <w:rFonts w:ascii="宋体" w:eastAsia="宋体" w:hAnsi="宋体"/>
          <w:b/>
          <w:sz w:val="24"/>
        </w:rPr>
      </w:pPr>
    </w:p>
    <w:p w:rsidR="003F6DAA" w:rsidRDefault="00E74038">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5000" w:type="pct"/>
        <w:tblLayout w:type="fixed"/>
        <w:tblLook w:val="04A0"/>
      </w:tblPr>
      <w:tblGrid>
        <w:gridCol w:w="1357"/>
        <w:gridCol w:w="1813"/>
        <w:gridCol w:w="1784"/>
        <w:gridCol w:w="1784"/>
        <w:gridCol w:w="1784"/>
      </w:tblGrid>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基金名称</w:t>
            </w:r>
          </w:p>
        </w:tc>
        <w:tc>
          <w:tcPr>
            <w:tcW w:w="5352" w:type="dxa"/>
            <w:gridSpan w:val="3"/>
            <w:vAlign w:val="center"/>
          </w:tcPr>
          <w:p w:rsidR="003F6DAA" w:rsidRDefault="00E74038">
            <w:pPr>
              <w:rPr>
                <w:rFonts w:ascii="宋体" w:eastAsia="宋体" w:hAnsi="宋体"/>
              </w:rPr>
            </w:pPr>
            <w:r>
              <w:rPr>
                <w:rFonts w:ascii="宋体" w:eastAsia="宋体" w:hAnsi="宋体" w:hint="eastAsia"/>
              </w:rPr>
              <w:t>博时信用债纯债债券型证券投资基金</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基金简称</w:t>
            </w:r>
          </w:p>
        </w:tc>
        <w:tc>
          <w:tcPr>
            <w:tcW w:w="5352" w:type="dxa"/>
            <w:gridSpan w:val="3"/>
            <w:vAlign w:val="center"/>
          </w:tcPr>
          <w:p w:rsidR="003F6DAA" w:rsidRDefault="00E74038">
            <w:pPr>
              <w:rPr>
                <w:rFonts w:ascii="宋体" w:eastAsia="宋体" w:hAnsi="宋体"/>
              </w:rPr>
            </w:pPr>
            <w:r>
              <w:rPr>
                <w:rFonts w:ascii="宋体" w:eastAsia="宋体" w:hAnsi="宋体" w:hint="eastAsia"/>
              </w:rPr>
              <w:t>博时信用债纯债债券</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基金主代码</w:t>
            </w:r>
          </w:p>
        </w:tc>
        <w:tc>
          <w:tcPr>
            <w:tcW w:w="5352" w:type="dxa"/>
            <w:gridSpan w:val="3"/>
            <w:vAlign w:val="center"/>
          </w:tcPr>
          <w:p w:rsidR="003F6DAA" w:rsidRDefault="00E74038">
            <w:pPr>
              <w:rPr>
                <w:rFonts w:ascii="宋体" w:eastAsia="宋体" w:hAnsi="宋体"/>
              </w:rPr>
            </w:pPr>
            <w:r>
              <w:rPr>
                <w:rFonts w:ascii="宋体" w:eastAsia="宋体" w:hAnsi="宋体"/>
              </w:rPr>
              <w:t>050027</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基金合同生效日</w:t>
            </w:r>
          </w:p>
        </w:tc>
        <w:tc>
          <w:tcPr>
            <w:tcW w:w="5352" w:type="dxa"/>
            <w:gridSpan w:val="3"/>
            <w:vAlign w:val="center"/>
          </w:tcPr>
          <w:p w:rsidR="003F6DAA" w:rsidRDefault="00E74038">
            <w:pPr>
              <w:rPr>
                <w:rFonts w:ascii="宋体" w:eastAsia="宋体" w:hAnsi="宋体"/>
              </w:rPr>
            </w:pPr>
            <w:r>
              <w:rPr>
                <w:rFonts w:ascii="宋体" w:eastAsia="宋体" w:hAnsi="宋体"/>
              </w:rPr>
              <w:t>2012</w:t>
            </w:r>
            <w:r>
              <w:rPr>
                <w:rFonts w:ascii="宋体" w:eastAsia="宋体" w:hAnsi="宋体"/>
              </w:rPr>
              <w:t>年</w:t>
            </w:r>
            <w:r>
              <w:rPr>
                <w:rFonts w:ascii="宋体" w:eastAsia="宋体" w:hAnsi="宋体"/>
              </w:rPr>
              <w:t>9</w:t>
            </w:r>
            <w:r>
              <w:rPr>
                <w:rFonts w:ascii="宋体" w:eastAsia="宋体" w:hAnsi="宋体"/>
              </w:rPr>
              <w:t>月</w:t>
            </w:r>
            <w:r>
              <w:rPr>
                <w:rFonts w:ascii="宋体" w:eastAsia="宋体" w:hAnsi="宋体"/>
              </w:rPr>
              <w:t>7</w:t>
            </w:r>
            <w:r>
              <w:rPr>
                <w:rFonts w:ascii="宋体" w:eastAsia="宋体" w:hAnsi="宋体"/>
              </w:rPr>
              <w:t>日</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基金管理人名称</w:t>
            </w:r>
          </w:p>
        </w:tc>
        <w:tc>
          <w:tcPr>
            <w:tcW w:w="5352" w:type="dxa"/>
            <w:gridSpan w:val="3"/>
            <w:vAlign w:val="center"/>
          </w:tcPr>
          <w:p w:rsidR="003F6DAA" w:rsidRDefault="00E74038">
            <w:pPr>
              <w:rPr>
                <w:rFonts w:ascii="宋体" w:eastAsia="宋体" w:hAnsi="宋体"/>
              </w:rPr>
            </w:pPr>
            <w:r>
              <w:rPr>
                <w:rFonts w:ascii="宋体" w:eastAsia="宋体" w:hAnsi="宋体" w:hint="eastAsia"/>
              </w:rPr>
              <w:t>博时基金管理有限公司</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基金托管人名称</w:t>
            </w:r>
          </w:p>
        </w:tc>
        <w:tc>
          <w:tcPr>
            <w:tcW w:w="5352" w:type="dxa"/>
            <w:gridSpan w:val="3"/>
            <w:vAlign w:val="center"/>
          </w:tcPr>
          <w:p w:rsidR="003F6DAA" w:rsidRDefault="00E74038">
            <w:pPr>
              <w:rPr>
                <w:rFonts w:ascii="宋体" w:eastAsia="宋体" w:hAnsi="宋体"/>
              </w:rPr>
            </w:pPr>
            <w:r>
              <w:rPr>
                <w:rFonts w:ascii="宋体" w:eastAsia="宋体" w:hAnsi="宋体" w:hint="eastAsia"/>
              </w:rPr>
              <w:t>中国工商银行股份有限公司</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公告依据</w:t>
            </w:r>
          </w:p>
        </w:tc>
        <w:tc>
          <w:tcPr>
            <w:tcW w:w="5352" w:type="dxa"/>
            <w:gridSpan w:val="3"/>
            <w:vAlign w:val="center"/>
          </w:tcPr>
          <w:p w:rsidR="003F6DAA" w:rsidRDefault="00E74038">
            <w:pPr>
              <w:rPr>
                <w:rFonts w:ascii="宋体" w:eastAsia="宋体" w:hAnsi="宋体"/>
              </w:rPr>
            </w:pPr>
            <w:r>
              <w:rPr>
                <w:rFonts w:ascii="宋体" w:eastAsia="宋体" w:hAnsi="宋体" w:hint="eastAsia"/>
              </w:rPr>
              <w:t>《中华人民共和国证券投资基金法》、《公开募集证券投资基金运作管理办法》、《博时信用债纯债债券型证券投资基金基金合同》、《博时信用债纯债债券型证券投资基金招募说明书》等</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收益分配基准日</w:t>
            </w:r>
          </w:p>
        </w:tc>
        <w:tc>
          <w:tcPr>
            <w:tcW w:w="5352" w:type="dxa"/>
            <w:gridSpan w:val="3"/>
            <w:vAlign w:val="center"/>
          </w:tcPr>
          <w:p w:rsidR="003F6DAA" w:rsidRDefault="00E74038">
            <w:pPr>
              <w:rPr>
                <w:rFonts w:ascii="宋体" w:eastAsia="宋体" w:hAnsi="宋体"/>
              </w:rPr>
            </w:pPr>
            <w:r>
              <w:rPr>
                <w:rFonts w:ascii="宋体" w:eastAsia="宋体" w:hAnsi="宋体" w:hint="eastAsia"/>
              </w:rPr>
              <w:t>202</w:t>
            </w:r>
            <w:r>
              <w:rPr>
                <w:rFonts w:ascii="宋体" w:eastAsia="宋体" w:hAnsi="宋体" w:hint="eastAsia"/>
              </w:rPr>
              <w:t>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29</w:t>
            </w:r>
            <w:r>
              <w:rPr>
                <w:rFonts w:ascii="宋体" w:eastAsia="宋体" w:hAnsi="宋体" w:hint="eastAsia"/>
              </w:rPr>
              <w:t>日</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下属基金份额的基金简称</w:t>
            </w:r>
          </w:p>
        </w:tc>
        <w:tc>
          <w:tcPr>
            <w:tcW w:w="1784" w:type="dxa"/>
            <w:vAlign w:val="center"/>
          </w:tcPr>
          <w:p w:rsidR="003F6DAA" w:rsidRDefault="00E74038">
            <w:pPr>
              <w:rPr>
                <w:rFonts w:ascii="宋体" w:eastAsia="宋体" w:hAnsi="宋体"/>
              </w:rPr>
            </w:pPr>
            <w:r>
              <w:rPr>
                <w:rFonts w:ascii="宋体" w:eastAsia="宋体" w:hAnsi="宋体" w:hint="eastAsia"/>
              </w:rPr>
              <w:t>博时信用债纯债债券</w:t>
            </w:r>
            <w:r>
              <w:rPr>
                <w:rFonts w:ascii="宋体" w:eastAsia="宋体" w:hAnsi="宋体"/>
              </w:rPr>
              <w:t>A</w:t>
            </w:r>
          </w:p>
        </w:tc>
        <w:tc>
          <w:tcPr>
            <w:tcW w:w="1784" w:type="dxa"/>
            <w:vAlign w:val="center"/>
          </w:tcPr>
          <w:p w:rsidR="003F6DAA" w:rsidRDefault="00E74038">
            <w:pPr>
              <w:rPr>
                <w:rFonts w:ascii="宋体" w:eastAsia="宋体" w:hAnsi="宋体"/>
              </w:rPr>
            </w:pPr>
            <w:r>
              <w:rPr>
                <w:rFonts w:ascii="宋体" w:eastAsia="宋体" w:hAnsi="宋体" w:hint="eastAsia"/>
              </w:rPr>
              <w:t>博时信用债纯债债券</w:t>
            </w:r>
            <w:r>
              <w:rPr>
                <w:rFonts w:ascii="宋体" w:eastAsia="宋体" w:hAnsi="宋体" w:hint="eastAsia"/>
              </w:rPr>
              <w:t>B</w:t>
            </w:r>
          </w:p>
        </w:tc>
        <w:tc>
          <w:tcPr>
            <w:tcW w:w="1784" w:type="dxa"/>
            <w:vAlign w:val="center"/>
          </w:tcPr>
          <w:p w:rsidR="003F6DAA" w:rsidRDefault="00E74038">
            <w:pPr>
              <w:rPr>
                <w:rFonts w:ascii="宋体" w:eastAsia="宋体" w:hAnsi="宋体"/>
              </w:rPr>
            </w:pPr>
            <w:r>
              <w:rPr>
                <w:rFonts w:ascii="宋体" w:eastAsia="宋体" w:hAnsi="宋体" w:hint="eastAsia"/>
              </w:rPr>
              <w:t>博时信用债纯债债券</w:t>
            </w:r>
            <w:r>
              <w:rPr>
                <w:rFonts w:ascii="宋体" w:eastAsia="宋体" w:hAnsi="宋体"/>
              </w:rPr>
              <w:t>C</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下属基金份额的交易代码</w:t>
            </w:r>
          </w:p>
        </w:tc>
        <w:tc>
          <w:tcPr>
            <w:tcW w:w="1784" w:type="dxa"/>
            <w:vAlign w:val="center"/>
          </w:tcPr>
          <w:p w:rsidR="003F6DAA" w:rsidRDefault="00E74038">
            <w:pPr>
              <w:rPr>
                <w:rFonts w:ascii="宋体" w:eastAsia="宋体" w:hAnsi="宋体"/>
              </w:rPr>
            </w:pPr>
            <w:r>
              <w:rPr>
                <w:rFonts w:ascii="宋体" w:eastAsia="宋体" w:hAnsi="宋体"/>
              </w:rPr>
              <w:t>050027</w:t>
            </w:r>
          </w:p>
        </w:tc>
        <w:tc>
          <w:tcPr>
            <w:tcW w:w="1784" w:type="dxa"/>
            <w:vAlign w:val="center"/>
          </w:tcPr>
          <w:p w:rsidR="003F6DAA" w:rsidRDefault="00E74038">
            <w:pPr>
              <w:rPr>
                <w:rFonts w:ascii="宋体" w:eastAsia="宋体" w:hAnsi="宋体"/>
              </w:rPr>
            </w:pPr>
            <w:r>
              <w:rPr>
                <w:rFonts w:ascii="宋体" w:eastAsia="宋体" w:hAnsi="宋体" w:hint="eastAsia"/>
              </w:rPr>
              <w:t>020024</w:t>
            </w:r>
          </w:p>
        </w:tc>
        <w:tc>
          <w:tcPr>
            <w:tcW w:w="1784" w:type="dxa"/>
            <w:vAlign w:val="center"/>
          </w:tcPr>
          <w:p w:rsidR="003F6DAA" w:rsidRDefault="00E74038">
            <w:pPr>
              <w:rPr>
                <w:rFonts w:ascii="宋体" w:eastAsia="宋体" w:hAnsi="宋体"/>
              </w:rPr>
            </w:pPr>
            <w:r>
              <w:rPr>
                <w:rFonts w:ascii="宋体" w:eastAsia="宋体" w:hAnsi="宋体"/>
              </w:rPr>
              <w:t>001661</w:t>
            </w:r>
          </w:p>
        </w:tc>
      </w:tr>
      <w:tr w:rsidR="003F6DAA">
        <w:tc>
          <w:tcPr>
            <w:tcW w:w="1357" w:type="dxa"/>
            <w:vMerge w:val="restart"/>
            <w:vAlign w:val="center"/>
          </w:tcPr>
          <w:p w:rsidR="003F6DAA" w:rsidRDefault="00E74038">
            <w:pPr>
              <w:rPr>
                <w:rFonts w:ascii="宋体" w:eastAsia="宋体" w:hAnsi="宋体"/>
              </w:rPr>
            </w:pPr>
            <w:r>
              <w:rPr>
                <w:rFonts w:ascii="宋体" w:eastAsia="宋体" w:hAnsi="宋体" w:hint="eastAsia"/>
              </w:rPr>
              <w:t>截止基准日下属基金份额的相关指标</w:t>
            </w:r>
          </w:p>
        </w:tc>
        <w:tc>
          <w:tcPr>
            <w:tcW w:w="1813" w:type="dxa"/>
            <w:vAlign w:val="center"/>
          </w:tcPr>
          <w:p w:rsidR="003F6DAA" w:rsidRDefault="00E74038">
            <w:pPr>
              <w:rPr>
                <w:rFonts w:ascii="宋体" w:eastAsia="宋体" w:hAnsi="宋体"/>
              </w:rPr>
            </w:pPr>
            <w:r>
              <w:rPr>
                <w:rFonts w:ascii="宋体" w:eastAsia="宋体" w:hAnsi="宋体" w:hint="eastAsia"/>
              </w:rPr>
              <w:t>基准日下属基金份额份额净值（单位：元）</w:t>
            </w:r>
          </w:p>
        </w:tc>
        <w:tc>
          <w:tcPr>
            <w:tcW w:w="1784" w:type="dxa"/>
            <w:vAlign w:val="center"/>
          </w:tcPr>
          <w:p w:rsidR="003F6DAA" w:rsidRDefault="00E74038">
            <w:pPr>
              <w:rPr>
                <w:rFonts w:ascii="宋体" w:eastAsia="宋体" w:hAnsi="宋体"/>
              </w:rPr>
            </w:pPr>
            <w:r>
              <w:rPr>
                <w:rFonts w:ascii="宋体" w:eastAsia="宋体" w:hAnsi="宋体"/>
              </w:rPr>
              <w:t>1.1340</w:t>
            </w:r>
          </w:p>
        </w:tc>
        <w:tc>
          <w:tcPr>
            <w:tcW w:w="1784" w:type="dxa"/>
            <w:vAlign w:val="center"/>
          </w:tcPr>
          <w:p w:rsidR="003F6DAA" w:rsidRDefault="00E74038">
            <w:pPr>
              <w:rPr>
                <w:rFonts w:ascii="宋体" w:eastAsia="宋体" w:hAnsi="宋体"/>
              </w:rPr>
            </w:pPr>
            <w:r>
              <w:rPr>
                <w:rFonts w:ascii="宋体" w:eastAsia="宋体" w:hAnsi="宋体"/>
              </w:rPr>
              <w:t>1.1339</w:t>
            </w:r>
          </w:p>
        </w:tc>
        <w:tc>
          <w:tcPr>
            <w:tcW w:w="1784" w:type="dxa"/>
            <w:vAlign w:val="center"/>
          </w:tcPr>
          <w:p w:rsidR="003F6DAA" w:rsidRDefault="00E74038">
            <w:pPr>
              <w:rPr>
                <w:rFonts w:ascii="宋体" w:eastAsia="宋体" w:hAnsi="宋体"/>
              </w:rPr>
            </w:pPr>
            <w:r>
              <w:rPr>
                <w:rFonts w:ascii="宋体" w:eastAsia="宋体" w:hAnsi="宋体"/>
              </w:rPr>
              <w:t>1.0796</w:t>
            </w:r>
          </w:p>
        </w:tc>
      </w:tr>
      <w:tr w:rsidR="003F6DAA">
        <w:tc>
          <w:tcPr>
            <w:tcW w:w="1357" w:type="dxa"/>
            <w:vMerge/>
            <w:vAlign w:val="center"/>
          </w:tcPr>
          <w:p w:rsidR="003F6DAA" w:rsidRDefault="003F6DAA"/>
        </w:tc>
        <w:tc>
          <w:tcPr>
            <w:tcW w:w="1813" w:type="dxa"/>
            <w:vAlign w:val="center"/>
          </w:tcPr>
          <w:p w:rsidR="003F6DAA" w:rsidRDefault="00E74038">
            <w:pPr>
              <w:rPr>
                <w:rFonts w:ascii="宋体" w:eastAsia="宋体" w:hAnsi="宋体"/>
              </w:rPr>
            </w:pPr>
            <w:r>
              <w:rPr>
                <w:rFonts w:ascii="宋体" w:eastAsia="宋体" w:hAnsi="宋体" w:hint="eastAsia"/>
              </w:rPr>
              <w:t>基准日下属基金份额可供分配利润（单位：元）</w:t>
            </w:r>
          </w:p>
        </w:tc>
        <w:tc>
          <w:tcPr>
            <w:tcW w:w="1784" w:type="dxa"/>
            <w:vAlign w:val="center"/>
          </w:tcPr>
          <w:p w:rsidR="003F6DAA" w:rsidRDefault="00E74038">
            <w:pPr>
              <w:rPr>
                <w:rFonts w:ascii="宋体" w:eastAsia="宋体" w:hAnsi="宋体"/>
              </w:rPr>
            </w:pPr>
            <w:r>
              <w:rPr>
                <w:rFonts w:ascii="宋体" w:eastAsia="宋体" w:hAnsi="宋体"/>
              </w:rPr>
              <w:t>164,556,235.25</w:t>
            </w:r>
          </w:p>
        </w:tc>
        <w:tc>
          <w:tcPr>
            <w:tcW w:w="1784" w:type="dxa"/>
            <w:vAlign w:val="center"/>
          </w:tcPr>
          <w:p w:rsidR="003F6DAA" w:rsidRDefault="00E74038">
            <w:pPr>
              <w:rPr>
                <w:rFonts w:ascii="宋体" w:eastAsia="宋体" w:hAnsi="宋体"/>
              </w:rPr>
            </w:pPr>
            <w:r>
              <w:rPr>
                <w:rFonts w:ascii="宋体" w:eastAsia="宋体" w:hAnsi="宋体"/>
              </w:rPr>
              <w:t>229,512.45</w:t>
            </w:r>
          </w:p>
        </w:tc>
        <w:tc>
          <w:tcPr>
            <w:tcW w:w="1784" w:type="dxa"/>
            <w:vAlign w:val="center"/>
          </w:tcPr>
          <w:p w:rsidR="003F6DAA" w:rsidRDefault="00E74038">
            <w:pPr>
              <w:rPr>
                <w:rFonts w:ascii="宋体" w:eastAsia="宋体" w:hAnsi="宋体"/>
              </w:rPr>
            </w:pPr>
            <w:r>
              <w:rPr>
                <w:rFonts w:ascii="宋体" w:eastAsia="宋体" w:hAnsi="宋体"/>
              </w:rPr>
              <w:t>22,352,096.66</w:t>
            </w:r>
          </w:p>
        </w:tc>
      </w:tr>
      <w:tr w:rsidR="003F6DAA">
        <w:tc>
          <w:tcPr>
            <w:tcW w:w="1357" w:type="dxa"/>
            <w:vMerge/>
            <w:vAlign w:val="center"/>
          </w:tcPr>
          <w:p w:rsidR="003F6DAA" w:rsidRDefault="003F6DAA"/>
        </w:tc>
        <w:tc>
          <w:tcPr>
            <w:tcW w:w="1813" w:type="dxa"/>
            <w:vAlign w:val="center"/>
          </w:tcPr>
          <w:p w:rsidR="003F6DAA" w:rsidRDefault="00E74038">
            <w:pPr>
              <w:rPr>
                <w:rFonts w:ascii="宋体" w:eastAsia="宋体" w:hAnsi="宋体"/>
              </w:rPr>
            </w:pPr>
            <w:r>
              <w:rPr>
                <w:rFonts w:ascii="宋体" w:eastAsia="宋体" w:hAnsi="宋体" w:hint="eastAsia"/>
              </w:rPr>
              <w:t>截止基准日按照基金合同约定的分红比例计算的应分配金额（单位：元）</w:t>
            </w:r>
          </w:p>
        </w:tc>
        <w:tc>
          <w:tcPr>
            <w:tcW w:w="1784" w:type="dxa"/>
            <w:vAlign w:val="center"/>
          </w:tcPr>
          <w:p w:rsidR="003F6DAA" w:rsidRDefault="00E74038">
            <w:pPr>
              <w:rPr>
                <w:rFonts w:ascii="宋体" w:eastAsia="宋体" w:hAnsi="宋体"/>
              </w:rPr>
            </w:pPr>
            <w:r>
              <w:rPr>
                <w:rFonts w:ascii="宋体" w:eastAsia="宋体" w:hAnsi="宋体" w:hint="eastAsia"/>
              </w:rPr>
              <w:t>82,278,11</w:t>
            </w:r>
            <w:bookmarkStart w:id="0" w:name="_GoBack"/>
            <w:bookmarkEnd w:id="0"/>
            <w:r>
              <w:rPr>
                <w:rFonts w:ascii="宋体" w:eastAsia="宋体" w:hAnsi="宋体" w:hint="eastAsia"/>
              </w:rPr>
              <w:t xml:space="preserve">7.63 </w:t>
            </w:r>
          </w:p>
        </w:tc>
        <w:tc>
          <w:tcPr>
            <w:tcW w:w="1784" w:type="dxa"/>
            <w:vAlign w:val="center"/>
          </w:tcPr>
          <w:p w:rsidR="003F6DAA" w:rsidRDefault="00E74038">
            <w:pPr>
              <w:rPr>
                <w:rFonts w:ascii="宋体" w:eastAsia="宋体" w:hAnsi="宋体"/>
              </w:rPr>
            </w:pPr>
            <w:r>
              <w:rPr>
                <w:rFonts w:ascii="宋体" w:eastAsia="宋体" w:hAnsi="宋体" w:hint="eastAsia"/>
              </w:rPr>
              <w:t xml:space="preserve">114,756.23 </w:t>
            </w:r>
          </w:p>
        </w:tc>
        <w:tc>
          <w:tcPr>
            <w:tcW w:w="1784" w:type="dxa"/>
            <w:vAlign w:val="center"/>
          </w:tcPr>
          <w:p w:rsidR="003F6DAA" w:rsidRDefault="00E74038">
            <w:pPr>
              <w:rPr>
                <w:rFonts w:ascii="宋体" w:eastAsia="宋体" w:hAnsi="宋体"/>
              </w:rPr>
            </w:pPr>
            <w:r>
              <w:rPr>
                <w:rFonts w:ascii="宋体" w:eastAsia="宋体" w:hAnsi="宋体" w:hint="eastAsia"/>
              </w:rPr>
              <w:t xml:space="preserve">11,176,048.33 </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本次下属基金份额分红方案（单位：元</w:t>
            </w:r>
            <w:r>
              <w:rPr>
                <w:rFonts w:ascii="宋体" w:eastAsia="宋体" w:hAnsi="宋体"/>
              </w:rPr>
              <w:t>/10</w:t>
            </w:r>
            <w:r>
              <w:rPr>
                <w:rFonts w:ascii="宋体" w:eastAsia="宋体" w:hAnsi="宋体"/>
              </w:rPr>
              <w:t>份基金份额）</w:t>
            </w:r>
          </w:p>
        </w:tc>
        <w:tc>
          <w:tcPr>
            <w:tcW w:w="1784" w:type="dxa"/>
            <w:vAlign w:val="center"/>
          </w:tcPr>
          <w:p w:rsidR="003F6DAA" w:rsidRDefault="00E74038">
            <w:pPr>
              <w:rPr>
                <w:rFonts w:ascii="宋体" w:eastAsia="宋体" w:hAnsi="宋体"/>
              </w:rPr>
            </w:pPr>
            <w:r>
              <w:rPr>
                <w:rFonts w:ascii="宋体" w:eastAsia="宋体" w:hAnsi="宋体"/>
              </w:rPr>
              <w:t>0.0660</w:t>
            </w:r>
          </w:p>
        </w:tc>
        <w:tc>
          <w:tcPr>
            <w:tcW w:w="1784" w:type="dxa"/>
            <w:vAlign w:val="center"/>
          </w:tcPr>
          <w:p w:rsidR="003F6DAA" w:rsidRDefault="00E74038">
            <w:pPr>
              <w:rPr>
                <w:rFonts w:ascii="宋体" w:eastAsia="宋体" w:hAnsi="宋体"/>
              </w:rPr>
            </w:pPr>
            <w:r>
              <w:rPr>
                <w:rFonts w:ascii="宋体" w:eastAsia="宋体" w:hAnsi="宋体"/>
              </w:rPr>
              <w:t>0.0640</w:t>
            </w:r>
          </w:p>
        </w:tc>
        <w:tc>
          <w:tcPr>
            <w:tcW w:w="1784" w:type="dxa"/>
            <w:vAlign w:val="center"/>
          </w:tcPr>
          <w:p w:rsidR="003F6DAA" w:rsidRDefault="00E74038">
            <w:pPr>
              <w:rPr>
                <w:rFonts w:ascii="宋体" w:eastAsia="宋体" w:hAnsi="宋体"/>
              </w:rPr>
            </w:pPr>
            <w:r>
              <w:rPr>
                <w:rFonts w:ascii="宋体" w:eastAsia="宋体" w:hAnsi="宋体"/>
              </w:rPr>
              <w:t>0.0560</w:t>
            </w:r>
          </w:p>
        </w:tc>
      </w:tr>
      <w:tr w:rsidR="003F6DAA">
        <w:tc>
          <w:tcPr>
            <w:tcW w:w="3170" w:type="dxa"/>
            <w:gridSpan w:val="2"/>
            <w:vAlign w:val="center"/>
          </w:tcPr>
          <w:p w:rsidR="003F6DAA" w:rsidRDefault="00E74038">
            <w:pPr>
              <w:rPr>
                <w:rFonts w:ascii="宋体" w:eastAsia="宋体" w:hAnsi="宋体"/>
              </w:rPr>
            </w:pPr>
            <w:r>
              <w:rPr>
                <w:rFonts w:ascii="宋体" w:eastAsia="宋体" w:hAnsi="宋体" w:hint="eastAsia"/>
              </w:rPr>
              <w:t>有关年度分红次数的说明</w:t>
            </w:r>
          </w:p>
        </w:tc>
        <w:tc>
          <w:tcPr>
            <w:tcW w:w="5352" w:type="dxa"/>
            <w:gridSpan w:val="3"/>
            <w:vAlign w:val="center"/>
          </w:tcPr>
          <w:p w:rsidR="003F6DAA" w:rsidRDefault="00E74038">
            <w:pPr>
              <w:rPr>
                <w:rFonts w:ascii="宋体" w:eastAsia="宋体" w:hAnsi="宋体"/>
              </w:rPr>
            </w:pPr>
            <w:r>
              <w:rPr>
                <w:rFonts w:ascii="宋体" w:eastAsia="宋体" w:hAnsi="宋体" w:hint="eastAsia"/>
              </w:rPr>
              <w:t>本次分红为</w:t>
            </w:r>
            <w:r>
              <w:rPr>
                <w:rFonts w:ascii="宋体" w:eastAsia="宋体" w:hAnsi="宋体" w:hint="eastAsia"/>
              </w:rPr>
              <w:t>202</w:t>
            </w:r>
            <w:r>
              <w:rPr>
                <w:rFonts w:ascii="宋体" w:eastAsia="宋体" w:hAnsi="宋体" w:hint="eastAsia"/>
              </w:rPr>
              <w:t>4</w:t>
            </w:r>
            <w:r>
              <w:rPr>
                <w:rFonts w:ascii="宋体" w:eastAsia="宋体" w:hAnsi="宋体" w:hint="eastAsia"/>
              </w:rPr>
              <w:t>年</w:t>
            </w:r>
            <w:r>
              <w:rPr>
                <w:rFonts w:ascii="宋体" w:eastAsia="宋体" w:hAnsi="宋体"/>
              </w:rPr>
              <w:t>度的第</w:t>
            </w:r>
            <w:r>
              <w:rPr>
                <w:rFonts w:ascii="宋体" w:eastAsia="宋体" w:hAnsi="宋体" w:hint="eastAsia"/>
              </w:rPr>
              <w:t>1</w:t>
            </w:r>
            <w:r>
              <w:rPr>
                <w:rFonts w:ascii="宋体" w:eastAsia="宋体" w:hAnsi="宋体"/>
              </w:rPr>
              <w:t>次分红</w:t>
            </w:r>
          </w:p>
        </w:tc>
      </w:tr>
    </w:tbl>
    <w:p w:rsidR="003F6DAA" w:rsidRDefault="00E74038">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本基金</w:t>
      </w:r>
      <w:r>
        <w:rPr>
          <w:rFonts w:hint="eastAsia"/>
          <w:sz w:val="21"/>
          <w:szCs w:val="21"/>
        </w:rPr>
        <w:t>A</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0.0660</w:t>
      </w:r>
      <w:r>
        <w:rPr>
          <w:rFonts w:hint="eastAsia"/>
          <w:sz w:val="21"/>
          <w:szCs w:val="21"/>
        </w:rPr>
        <w:t>元人民币，</w:t>
      </w:r>
      <w:r>
        <w:rPr>
          <w:rFonts w:hint="eastAsia"/>
          <w:sz w:val="21"/>
          <w:szCs w:val="21"/>
        </w:rPr>
        <w:t>本基金</w:t>
      </w:r>
      <w:r>
        <w:rPr>
          <w:rFonts w:hint="eastAsia"/>
          <w:sz w:val="21"/>
          <w:szCs w:val="21"/>
        </w:rPr>
        <w:t>B</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0.0640</w:t>
      </w:r>
      <w:r>
        <w:rPr>
          <w:rFonts w:hint="eastAsia"/>
          <w:sz w:val="21"/>
          <w:szCs w:val="21"/>
        </w:rPr>
        <w:t>元人民币，本基金</w:t>
      </w:r>
      <w:r>
        <w:rPr>
          <w:rFonts w:hint="eastAsia"/>
          <w:sz w:val="21"/>
          <w:szCs w:val="21"/>
        </w:rPr>
        <w:t>C</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0.0560</w:t>
      </w:r>
      <w:r>
        <w:rPr>
          <w:rFonts w:hint="eastAsia"/>
          <w:sz w:val="21"/>
          <w:szCs w:val="21"/>
        </w:rPr>
        <w:t>元人民币</w:t>
      </w:r>
      <w:r>
        <w:rPr>
          <w:rFonts w:hint="eastAsia"/>
          <w:sz w:val="21"/>
          <w:szCs w:val="21"/>
        </w:rPr>
        <w:t>。</w:t>
      </w:r>
    </w:p>
    <w:p w:rsidR="003F6DAA" w:rsidRDefault="003F6DAA">
      <w:pPr>
        <w:pStyle w:val="a3"/>
        <w:spacing w:before="0" w:beforeAutospacing="0" w:after="0" w:afterAutospacing="0" w:line="360" w:lineRule="auto"/>
        <w:ind w:firstLine="420"/>
        <w:rPr>
          <w:sz w:val="21"/>
          <w:szCs w:val="21"/>
        </w:rPr>
      </w:pPr>
    </w:p>
    <w:p w:rsidR="003F6DAA" w:rsidRDefault="00E74038">
      <w:pPr>
        <w:pStyle w:val="3"/>
        <w:rPr>
          <w:rFonts w:ascii="宋体" w:eastAsia="宋体" w:hAnsi="宋体"/>
          <w:sz w:val="21"/>
        </w:rPr>
      </w:pPr>
      <w:r>
        <w:rPr>
          <w:rFonts w:ascii="宋体" w:eastAsia="宋体" w:hAnsi="宋体"/>
          <w:sz w:val="21"/>
        </w:rPr>
        <w:lastRenderedPageBreak/>
        <w:t xml:space="preserve">2 </w:t>
      </w:r>
      <w:r>
        <w:rPr>
          <w:rFonts w:ascii="宋体" w:eastAsia="宋体" w:hAnsi="宋体"/>
          <w:sz w:val="21"/>
        </w:rPr>
        <w:t>与分红相关的其他信息</w:t>
      </w:r>
    </w:p>
    <w:tbl>
      <w:tblPr>
        <w:tblStyle w:val="a4"/>
        <w:tblW w:w="0" w:type="auto"/>
        <w:tblLook w:val="04A0"/>
      </w:tblPr>
      <w:tblGrid>
        <w:gridCol w:w="2840"/>
        <w:gridCol w:w="5682"/>
      </w:tblGrid>
      <w:tr w:rsidR="003F6DAA">
        <w:tc>
          <w:tcPr>
            <w:tcW w:w="2840" w:type="dxa"/>
            <w:vAlign w:val="center"/>
          </w:tcPr>
          <w:p w:rsidR="003F6DAA" w:rsidRDefault="00E74038">
            <w:pPr>
              <w:rPr>
                <w:rFonts w:ascii="宋体" w:eastAsia="宋体" w:hAnsi="宋体"/>
              </w:rPr>
            </w:pPr>
            <w:r>
              <w:rPr>
                <w:rFonts w:ascii="宋体" w:eastAsia="宋体" w:hAnsi="宋体" w:hint="eastAsia"/>
              </w:rPr>
              <w:t>权益登记日</w:t>
            </w:r>
          </w:p>
        </w:tc>
        <w:tc>
          <w:tcPr>
            <w:tcW w:w="5682" w:type="dxa"/>
            <w:vAlign w:val="center"/>
          </w:tcPr>
          <w:p w:rsidR="003F6DAA" w:rsidRDefault="00E74038">
            <w:pPr>
              <w:rPr>
                <w:rFonts w:ascii="宋体" w:eastAsia="宋体" w:hAnsi="宋体"/>
              </w:rPr>
            </w:pPr>
            <w:r>
              <w:rPr>
                <w:rFonts w:ascii="宋体" w:eastAsia="宋体" w:hAnsi="宋体" w:hint="eastAsia"/>
              </w:rPr>
              <w:t>2024</w:t>
            </w:r>
            <w:r>
              <w:rPr>
                <w:rFonts w:ascii="宋体" w:eastAsia="宋体" w:hAnsi="宋体" w:hint="eastAsia"/>
              </w:rPr>
              <w:t>年</w:t>
            </w:r>
            <w:r>
              <w:rPr>
                <w:rFonts w:ascii="宋体" w:eastAsia="宋体" w:hAnsi="宋体" w:hint="eastAsia"/>
              </w:rPr>
              <w:t>4</w:t>
            </w:r>
            <w:r>
              <w:rPr>
                <w:rFonts w:ascii="宋体" w:eastAsia="宋体" w:hAnsi="宋体" w:hint="eastAsia"/>
              </w:rPr>
              <w:t>月</w:t>
            </w:r>
            <w:r>
              <w:rPr>
                <w:rFonts w:ascii="宋体" w:eastAsia="宋体" w:hAnsi="宋体" w:hint="eastAsia"/>
              </w:rPr>
              <w:t>12</w:t>
            </w:r>
            <w:r>
              <w:rPr>
                <w:rFonts w:ascii="宋体" w:eastAsia="宋体" w:hAnsi="宋体" w:hint="eastAsia"/>
              </w:rPr>
              <w:t>日</w:t>
            </w:r>
          </w:p>
        </w:tc>
      </w:tr>
      <w:tr w:rsidR="003F6DAA">
        <w:tc>
          <w:tcPr>
            <w:tcW w:w="2840" w:type="dxa"/>
            <w:vAlign w:val="center"/>
          </w:tcPr>
          <w:p w:rsidR="003F6DAA" w:rsidRDefault="00E74038">
            <w:pPr>
              <w:rPr>
                <w:rFonts w:ascii="宋体" w:eastAsia="宋体" w:hAnsi="宋体"/>
              </w:rPr>
            </w:pPr>
            <w:r>
              <w:rPr>
                <w:rFonts w:ascii="宋体" w:eastAsia="宋体" w:hAnsi="宋体" w:hint="eastAsia"/>
              </w:rPr>
              <w:t>除息日</w:t>
            </w:r>
          </w:p>
        </w:tc>
        <w:tc>
          <w:tcPr>
            <w:tcW w:w="5682" w:type="dxa"/>
            <w:vAlign w:val="center"/>
          </w:tcPr>
          <w:p w:rsidR="003F6DAA" w:rsidRDefault="00E74038">
            <w:pPr>
              <w:rPr>
                <w:rFonts w:ascii="宋体" w:eastAsia="宋体" w:hAnsi="宋体"/>
              </w:rPr>
            </w:pPr>
            <w:r>
              <w:rPr>
                <w:rFonts w:ascii="宋体" w:eastAsia="宋体" w:hAnsi="宋体" w:hint="eastAsia"/>
              </w:rPr>
              <w:t>2024</w:t>
            </w:r>
            <w:r>
              <w:rPr>
                <w:rFonts w:ascii="宋体" w:eastAsia="宋体" w:hAnsi="宋体" w:hint="eastAsia"/>
              </w:rPr>
              <w:t>年</w:t>
            </w:r>
            <w:r>
              <w:rPr>
                <w:rFonts w:ascii="宋体" w:eastAsia="宋体" w:hAnsi="宋体" w:hint="eastAsia"/>
              </w:rPr>
              <w:t>4</w:t>
            </w:r>
            <w:r>
              <w:rPr>
                <w:rFonts w:ascii="宋体" w:eastAsia="宋体" w:hAnsi="宋体" w:hint="eastAsia"/>
              </w:rPr>
              <w:t>月</w:t>
            </w:r>
            <w:r>
              <w:rPr>
                <w:rFonts w:ascii="宋体" w:eastAsia="宋体" w:hAnsi="宋体" w:hint="eastAsia"/>
              </w:rPr>
              <w:t>12</w:t>
            </w:r>
            <w:r>
              <w:rPr>
                <w:rFonts w:ascii="宋体" w:eastAsia="宋体" w:hAnsi="宋体" w:hint="eastAsia"/>
              </w:rPr>
              <w:t>日</w:t>
            </w:r>
          </w:p>
        </w:tc>
      </w:tr>
      <w:tr w:rsidR="003F6DAA">
        <w:tc>
          <w:tcPr>
            <w:tcW w:w="2840" w:type="dxa"/>
            <w:vAlign w:val="center"/>
          </w:tcPr>
          <w:p w:rsidR="003F6DAA" w:rsidRDefault="00E74038">
            <w:pPr>
              <w:rPr>
                <w:rFonts w:ascii="宋体" w:eastAsia="宋体" w:hAnsi="宋体"/>
              </w:rPr>
            </w:pPr>
            <w:r>
              <w:rPr>
                <w:rFonts w:ascii="宋体" w:eastAsia="宋体" w:hAnsi="宋体" w:hint="eastAsia"/>
              </w:rPr>
              <w:t>现金红利发放日</w:t>
            </w:r>
          </w:p>
        </w:tc>
        <w:tc>
          <w:tcPr>
            <w:tcW w:w="5682" w:type="dxa"/>
            <w:vAlign w:val="center"/>
          </w:tcPr>
          <w:p w:rsidR="003F6DAA" w:rsidRDefault="00E74038">
            <w:pPr>
              <w:rPr>
                <w:rFonts w:ascii="宋体" w:eastAsia="宋体" w:hAnsi="宋体"/>
              </w:rPr>
            </w:pPr>
            <w:r>
              <w:rPr>
                <w:rFonts w:ascii="宋体" w:eastAsia="宋体" w:hAnsi="宋体" w:hint="eastAsia"/>
              </w:rPr>
              <w:t>2024</w:t>
            </w:r>
            <w:r>
              <w:rPr>
                <w:rFonts w:ascii="宋体" w:eastAsia="宋体" w:hAnsi="宋体" w:hint="eastAsia"/>
              </w:rPr>
              <w:t>年</w:t>
            </w:r>
            <w:r>
              <w:rPr>
                <w:rFonts w:ascii="宋体" w:eastAsia="宋体" w:hAnsi="宋体" w:hint="eastAsia"/>
              </w:rPr>
              <w:t>4</w:t>
            </w:r>
            <w:r>
              <w:rPr>
                <w:rFonts w:ascii="宋体" w:eastAsia="宋体" w:hAnsi="宋体" w:hint="eastAsia"/>
              </w:rPr>
              <w:t>月</w:t>
            </w:r>
            <w:r>
              <w:rPr>
                <w:rFonts w:ascii="宋体" w:eastAsia="宋体" w:hAnsi="宋体" w:hint="eastAsia"/>
              </w:rPr>
              <w:t>16</w:t>
            </w:r>
            <w:r>
              <w:rPr>
                <w:rFonts w:ascii="宋体" w:eastAsia="宋体" w:hAnsi="宋体" w:hint="eastAsia"/>
              </w:rPr>
              <w:t>日</w:t>
            </w:r>
          </w:p>
        </w:tc>
      </w:tr>
      <w:tr w:rsidR="003F6DAA">
        <w:tc>
          <w:tcPr>
            <w:tcW w:w="2840" w:type="dxa"/>
            <w:vAlign w:val="center"/>
          </w:tcPr>
          <w:p w:rsidR="003F6DAA" w:rsidRDefault="00E74038">
            <w:pPr>
              <w:rPr>
                <w:rFonts w:ascii="宋体" w:eastAsia="宋体" w:hAnsi="宋体"/>
              </w:rPr>
            </w:pPr>
            <w:r>
              <w:rPr>
                <w:rFonts w:ascii="宋体" w:eastAsia="宋体" w:hAnsi="宋体" w:hint="eastAsia"/>
              </w:rPr>
              <w:t>分红对象</w:t>
            </w:r>
          </w:p>
        </w:tc>
        <w:tc>
          <w:tcPr>
            <w:tcW w:w="5682" w:type="dxa"/>
            <w:vAlign w:val="center"/>
          </w:tcPr>
          <w:p w:rsidR="003F6DAA" w:rsidRDefault="00E74038">
            <w:pPr>
              <w:rPr>
                <w:rFonts w:ascii="宋体" w:eastAsia="宋体" w:hAnsi="宋体"/>
              </w:rPr>
            </w:pPr>
            <w:r>
              <w:rPr>
                <w:rFonts w:ascii="宋体" w:eastAsia="宋体" w:hAnsi="宋体" w:hint="eastAsia"/>
              </w:rPr>
              <w:t>权益登记日登记在册的本基金份额持有人</w:t>
            </w:r>
          </w:p>
        </w:tc>
      </w:tr>
      <w:tr w:rsidR="003F6DAA">
        <w:tc>
          <w:tcPr>
            <w:tcW w:w="2840" w:type="dxa"/>
            <w:vAlign w:val="center"/>
          </w:tcPr>
          <w:p w:rsidR="003F6DAA" w:rsidRDefault="00E74038">
            <w:pPr>
              <w:rPr>
                <w:rFonts w:ascii="宋体" w:eastAsia="宋体" w:hAnsi="宋体"/>
              </w:rPr>
            </w:pPr>
            <w:r>
              <w:rPr>
                <w:rFonts w:ascii="宋体" w:eastAsia="宋体" w:hAnsi="宋体" w:hint="eastAsia"/>
              </w:rPr>
              <w:t>红利再投资相关事项的说明</w:t>
            </w:r>
          </w:p>
        </w:tc>
        <w:tc>
          <w:tcPr>
            <w:tcW w:w="5682" w:type="dxa"/>
            <w:vAlign w:val="center"/>
          </w:tcPr>
          <w:p w:rsidR="003F6DAA" w:rsidRDefault="00E74038">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hint="eastAsia"/>
              </w:rPr>
              <w:t>2024</w:t>
            </w:r>
            <w:r>
              <w:rPr>
                <w:rFonts w:ascii="宋体" w:eastAsia="宋体" w:hAnsi="宋体" w:hint="eastAsia"/>
              </w:rPr>
              <w:t>年</w:t>
            </w:r>
            <w:r>
              <w:rPr>
                <w:rFonts w:ascii="宋体" w:eastAsia="宋体" w:hAnsi="宋体" w:hint="eastAsia"/>
              </w:rPr>
              <w:t>4</w:t>
            </w:r>
            <w:r>
              <w:rPr>
                <w:rFonts w:ascii="宋体" w:eastAsia="宋体" w:hAnsi="宋体" w:hint="eastAsia"/>
              </w:rPr>
              <w:t>月</w:t>
            </w:r>
            <w:r>
              <w:rPr>
                <w:rFonts w:ascii="宋体" w:eastAsia="宋体" w:hAnsi="宋体" w:hint="eastAsia"/>
              </w:rPr>
              <w:t>12</w:t>
            </w:r>
            <w:r>
              <w:rPr>
                <w:rFonts w:ascii="宋体" w:eastAsia="宋体" w:hAnsi="宋体" w:hint="eastAsia"/>
              </w:rPr>
              <w:t>日</w:t>
            </w:r>
            <w:r>
              <w:rPr>
                <w:rFonts w:ascii="宋体" w:eastAsia="宋体" w:hAnsi="宋体"/>
              </w:rPr>
              <w:t>的基金份额净值为计算基准确定再投资份额，红利再投资所转换的基金份额于</w:t>
            </w:r>
            <w:r>
              <w:rPr>
                <w:rFonts w:ascii="宋体" w:eastAsia="宋体" w:hAnsi="宋体" w:hint="eastAsia"/>
              </w:rPr>
              <w:t>2024</w:t>
            </w:r>
            <w:r>
              <w:rPr>
                <w:rFonts w:ascii="宋体" w:eastAsia="宋体" w:hAnsi="宋体" w:hint="eastAsia"/>
              </w:rPr>
              <w:t>年</w:t>
            </w:r>
            <w:r>
              <w:rPr>
                <w:rFonts w:ascii="宋体" w:eastAsia="宋体" w:hAnsi="宋体" w:hint="eastAsia"/>
              </w:rPr>
              <w:t>4</w:t>
            </w:r>
            <w:r>
              <w:rPr>
                <w:rFonts w:ascii="宋体" w:eastAsia="宋体" w:hAnsi="宋体" w:hint="eastAsia"/>
              </w:rPr>
              <w:t>月</w:t>
            </w:r>
            <w:r>
              <w:rPr>
                <w:rFonts w:ascii="宋体" w:eastAsia="宋体" w:hAnsi="宋体" w:hint="eastAsia"/>
              </w:rPr>
              <w:t>15</w:t>
            </w:r>
            <w:r>
              <w:rPr>
                <w:rFonts w:ascii="宋体" w:eastAsia="宋体" w:hAnsi="宋体" w:hint="eastAsia"/>
              </w:rPr>
              <w:t>日</w:t>
            </w:r>
            <w:r>
              <w:rPr>
                <w:rFonts w:ascii="宋体" w:eastAsia="宋体" w:hAnsi="宋体"/>
              </w:rPr>
              <w:t>直接划入其基金账户，</w:t>
            </w:r>
            <w:r>
              <w:rPr>
                <w:rFonts w:ascii="宋体" w:eastAsia="宋体" w:hAnsi="宋体" w:hint="eastAsia"/>
              </w:rPr>
              <w:t>2024</w:t>
            </w:r>
            <w:r>
              <w:rPr>
                <w:rFonts w:ascii="宋体" w:eastAsia="宋体" w:hAnsi="宋体" w:hint="eastAsia"/>
              </w:rPr>
              <w:t>年</w:t>
            </w:r>
            <w:r>
              <w:rPr>
                <w:rFonts w:ascii="宋体" w:eastAsia="宋体" w:hAnsi="宋体" w:hint="eastAsia"/>
              </w:rPr>
              <w:t>4</w:t>
            </w:r>
            <w:r>
              <w:rPr>
                <w:rFonts w:ascii="宋体" w:eastAsia="宋体" w:hAnsi="宋体" w:hint="eastAsia"/>
              </w:rPr>
              <w:t>月</w:t>
            </w:r>
            <w:r>
              <w:rPr>
                <w:rFonts w:ascii="宋体" w:eastAsia="宋体" w:hAnsi="宋体" w:hint="eastAsia"/>
              </w:rPr>
              <w:t>16</w:t>
            </w:r>
            <w:r>
              <w:rPr>
                <w:rFonts w:ascii="宋体" w:eastAsia="宋体" w:hAnsi="宋体" w:hint="eastAsia"/>
              </w:rPr>
              <w:t>日</w:t>
            </w:r>
            <w:r>
              <w:rPr>
                <w:rFonts w:ascii="宋体" w:eastAsia="宋体" w:hAnsi="宋体"/>
              </w:rPr>
              <w:t>起投资者可以查询、赎回。</w:t>
            </w:r>
          </w:p>
        </w:tc>
      </w:tr>
      <w:tr w:rsidR="003F6DAA">
        <w:tc>
          <w:tcPr>
            <w:tcW w:w="2840" w:type="dxa"/>
            <w:vAlign w:val="center"/>
          </w:tcPr>
          <w:p w:rsidR="003F6DAA" w:rsidRDefault="00E74038">
            <w:pPr>
              <w:rPr>
                <w:rFonts w:ascii="宋体" w:eastAsia="宋体" w:hAnsi="宋体"/>
              </w:rPr>
            </w:pPr>
            <w:r>
              <w:rPr>
                <w:rFonts w:ascii="宋体" w:eastAsia="宋体" w:hAnsi="宋体" w:hint="eastAsia"/>
              </w:rPr>
              <w:t>税收相关事项的说明</w:t>
            </w:r>
          </w:p>
        </w:tc>
        <w:tc>
          <w:tcPr>
            <w:tcW w:w="5682" w:type="dxa"/>
            <w:vAlign w:val="center"/>
          </w:tcPr>
          <w:p w:rsidR="003F6DAA" w:rsidRDefault="00E74038">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3F6DAA">
        <w:tc>
          <w:tcPr>
            <w:tcW w:w="2840" w:type="dxa"/>
            <w:vAlign w:val="center"/>
          </w:tcPr>
          <w:p w:rsidR="003F6DAA" w:rsidRDefault="00E74038">
            <w:pPr>
              <w:rPr>
                <w:rFonts w:ascii="宋体" w:eastAsia="宋体" w:hAnsi="宋体"/>
              </w:rPr>
            </w:pPr>
            <w:r>
              <w:rPr>
                <w:rFonts w:ascii="宋体" w:eastAsia="宋体" w:hAnsi="宋体" w:hint="eastAsia"/>
              </w:rPr>
              <w:t>费用相关事项的说明</w:t>
            </w:r>
          </w:p>
        </w:tc>
        <w:tc>
          <w:tcPr>
            <w:tcW w:w="5682" w:type="dxa"/>
            <w:vAlign w:val="center"/>
          </w:tcPr>
          <w:p w:rsidR="003F6DAA" w:rsidRDefault="00E74038">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3F6DAA" w:rsidRDefault="003F6DAA"/>
    <w:p w:rsidR="003F6DAA" w:rsidRDefault="00E74038">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3F6DAA" w:rsidRDefault="00E74038">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3F6DAA" w:rsidRDefault="00E74038">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3F6DAA" w:rsidRDefault="00E74038">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4</w:t>
      </w:r>
      <w:r>
        <w:rPr>
          <w:rFonts w:hint="eastAsia"/>
          <w:sz w:val="21"/>
          <w:szCs w:val="21"/>
        </w:rPr>
        <w:t>月</w:t>
      </w:r>
      <w:r>
        <w:rPr>
          <w:rFonts w:hint="eastAsia"/>
          <w:sz w:val="21"/>
          <w:szCs w:val="21"/>
        </w:rPr>
        <w:t>12</w:t>
      </w:r>
      <w:r>
        <w:rPr>
          <w:rFonts w:hint="eastAsia"/>
          <w:sz w:val="21"/>
          <w:szCs w:val="21"/>
        </w:rPr>
        <w:t>日</w:t>
      </w:r>
      <w:r>
        <w:rPr>
          <w:rFonts w:hint="eastAsia"/>
          <w:sz w:val="21"/>
          <w:szCs w:val="21"/>
        </w:rPr>
        <w:t>）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3F6DAA" w:rsidRDefault="00E74038">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2024</w:t>
      </w:r>
      <w:r>
        <w:rPr>
          <w:rFonts w:hint="eastAsia"/>
          <w:sz w:val="21"/>
          <w:szCs w:val="21"/>
        </w:rPr>
        <w:t>年</w:t>
      </w:r>
      <w:r>
        <w:rPr>
          <w:rFonts w:hint="eastAsia"/>
          <w:sz w:val="21"/>
          <w:szCs w:val="21"/>
        </w:rPr>
        <w:t>4</w:t>
      </w:r>
      <w:r>
        <w:rPr>
          <w:rFonts w:hint="eastAsia"/>
          <w:sz w:val="21"/>
          <w:szCs w:val="21"/>
        </w:rPr>
        <w:t>月</w:t>
      </w:r>
      <w:r>
        <w:rPr>
          <w:rFonts w:hint="eastAsia"/>
          <w:sz w:val="21"/>
          <w:szCs w:val="21"/>
        </w:rPr>
        <w:t>12</w:t>
      </w:r>
      <w:r>
        <w:rPr>
          <w:rFonts w:hint="eastAsia"/>
          <w:sz w:val="21"/>
          <w:szCs w:val="21"/>
        </w:rPr>
        <w:t>日</w:t>
      </w:r>
      <w:r>
        <w:rPr>
          <w:rFonts w:hint="eastAsia"/>
          <w:sz w:val="21"/>
          <w:szCs w:val="21"/>
        </w:rPr>
        <w:t>申请赎回基金份额的，其账户余额（包括红</w:t>
      </w:r>
      <w:r>
        <w:rPr>
          <w:rFonts w:hint="eastAsia"/>
          <w:sz w:val="21"/>
          <w:szCs w:val="21"/>
        </w:rPr>
        <w:t>利再投资份额）低于</w:t>
      </w:r>
      <w:r>
        <w:rPr>
          <w:rFonts w:hint="eastAsia"/>
          <w:sz w:val="21"/>
          <w:szCs w:val="21"/>
        </w:rPr>
        <w:t>0.1</w:t>
      </w:r>
      <w:r>
        <w:rPr>
          <w:rFonts w:hint="eastAsia"/>
          <w:sz w:val="21"/>
          <w:szCs w:val="21"/>
        </w:rPr>
        <w:t>份时，本基金将自动计算其分红收益，并与赎回款一起以现金形式支付。</w:t>
      </w:r>
      <w:r>
        <w:rPr>
          <w:rFonts w:hint="eastAsia"/>
          <w:sz w:val="21"/>
          <w:szCs w:val="21"/>
        </w:rPr>
        <w:t xml:space="preserve"> </w:t>
      </w:r>
    </w:p>
    <w:p w:rsidR="003F6DAA" w:rsidRDefault="00E74038">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3F6DAA" w:rsidRDefault="00E74038">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w:t>
      </w:r>
      <w:r>
        <w:rPr>
          <w:rFonts w:hint="eastAsia"/>
          <w:sz w:val="21"/>
          <w:szCs w:val="21"/>
        </w:rPr>
        <w:t>代表未来表现，敬请投资者注意投资风险。</w:t>
      </w:r>
      <w:r>
        <w:rPr>
          <w:rFonts w:hint="eastAsia"/>
          <w:sz w:val="21"/>
          <w:szCs w:val="21"/>
        </w:rPr>
        <w:t xml:space="preserve"> </w:t>
      </w:r>
    </w:p>
    <w:p w:rsidR="003F6DAA" w:rsidRDefault="00E74038">
      <w:pPr>
        <w:pStyle w:val="a3"/>
        <w:spacing w:before="0" w:beforeAutospacing="0" w:after="0" w:afterAutospacing="0" w:line="360" w:lineRule="auto"/>
        <w:ind w:firstLine="420"/>
        <w:rPr>
          <w:sz w:val="21"/>
          <w:szCs w:val="21"/>
        </w:rPr>
      </w:pPr>
      <w:r>
        <w:rPr>
          <w:rFonts w:hint="eastAsia"/>
          <w:sz w:val="21"/>
          <w:szCs w:val="21"/>
        </w:rPr>
        <w:t>特此公告。</w:t>
      </w:r>
    </w:p>
    <w:p w:rsidR="003F6DAA" w:rsidRDefault="003F6DAA">
      <w:pPr>
        <w:pStyle w:val="a3"/>
        <w:spacing w:before="0" w:beforeAutospacing="0" w:after="0" w:afterAutospacing="0" w:line="360" w:lineRule="auto"/>
        <w:ind w:firstLine="420"/>
        <w:rPr>
          <w:sz w:val="21"/>
          <w:szCs w:val="21"/>
        </w:rPr>
      </w:pPr>
    </w:p>
    <w:p w:rsidR="003F6DAA" w:rsidRDefault="003F6DAA">
      <w:pPr>
        <w:pStyle w:val="a3"/>
        <w:spacing w:before="0" w:beforeAutospacing="0" w:after="0" w:afterAutospacing="0" w:line="360" w:lineRule="auto"/>
        <w:ind w:firstLine="420"/>
        <w:rPr>
          <w:sz w:val="21"/>
          <w:szCs w:val="21"/>
        </w:rPr>
      </w:pPr>
    </w:p>
    <w:p w:rsidR="003F6DAA" w:rsidRDefault="003F6DAA">
      <w:pPr>
        <w:pStyle w:val="a3"/>
        <w:spacing w:before="0" w:beforeAutospacing="0" w:after="0" w:afterAutospacing="0" w:line="360" w:lineRule="auto"/>
        <w:ind w:firstLine="420"/>
        <w:rPr>
          <w:sz w:val="21"/>
          <w:szCs w:val="21"/>
        </w:rPr>
      </w:pPr>
    </w:p>
    <w:p w:rsidR="003F6DAA" w:rsidRDefault="00E74038">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3F6DAA" w:rsidRDefault="00E74038">
      <w:pPr>
        <w:pStyle w:val="a3"/>
        <w:spacing w:before="0" w:beforeAutospacing="0" w:after="0" w:afterAutospacing="0" w:line="360" w:lineRule="auto"/>
        <w:ind w:firstLine="420"/>
        <w:jc w:val="right"/>
        <w:rPr>
          <w:sz w:val="21"/>
          <w:szCs w:val="21"/>
        </w:rPr>
      </w:pPr>
      <w:r>
        <w:rPr>
          <w:rFonts w:hint="eastAsia"/>
          <w:sz w:val="21"/>
          <w:szCs w:val="21"/>
        </w:rPr>
        <w:t>2024</w:t>
      </w:r>
      <w:r>
        <w:rPr>
          <w:rFonts w:hint="eastAsia"/>
          <w:sz w:val="21"/>
          <w:szCs w:val="21"/>
        </w:rPr>
        <w:t>年</w:t>
      </w:r>
      <w:r>
        <w:rPr>
          <w:rFonts w:hint="eastAsia"/>
          <w:sz w:val="21"/>
          <w:szCs w:val="21"/>
        </w:rPr>
        <w:t>4</w:t>
      </w:r>
      <w:r>
        <w:rPr>
          <w:rFonts w:hint="eastAsia"/>
          <w:sz w:val="21"/>
          <w:szCs w:val="21"/>
        </w:rPr>
        <w:t>月</w:t>
      </w:r>
      <w:r>
        <w:rPr>
          <w:rFonts w:hint="eastAsia"/>
          <w:sz w:val="21"/>
          <w:szCs w:val="21"/>
        </w:rPr>
        <w:t>10</w:t>
      </w:r>
      <w:r>
        <w:rPr>
          <w:rFonts w:hint="eastAsia"/>
          <w:sz w:val="21"/>
          <w:szCs w:val="21"/>
        </w:rPr>
        <w:t>日</w:t>
      </w:r>
    </w:p>
    <w:p w:rsidR="003F6DAA" w:rsidRDefault="003F6DAA">
      <w:pPr>
        <w:pStyle w:val="a3"/>
        <w:spacing w:before="0" w:beforeAutospacing="0" w:after="0" w:afterAutospacing="0" w:line="360" w:lineRule="auto"/>
        <w:ind w:firstLine="420"/>
        <w:jc w:val="right"/>
        <w:rPr>
          <w:sz w:val="21"/>
          <w:szCs w:val="21"/>
        </w:rPr>
      </w:pPr>
    </w:p>
    <w:sectPr w:rsidR="003F6DAA" w:rsidSect="003F6D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C200F5"/>
    <w:rsid w:val="003F6DAA"/>
    <w:rsid w:val="004D603F"/>
    <w:rsid w:val="008759F7"/>
    <w:rsid w:val="00C200F5"/>
    <w:rsid w:val="00D76BE6"/>
    <w:rsid w:val="00E74038"/>
    <w:rsid w:val="025A5AB3"/>
    <w:rsid w:val="02E7671C"/>
    <w:rsid w:val="03F92073"/>
    <w:rsid w:val="040220D2"/>
    <w:rsid w:val="06887A00"/>
    <w:rsid w:val="0DD46216"/>
    <w:rsid w:val="10912083"/>
    <w:rsid w:val="124C2E67"/>
    <w:rsid w:val="14271555"/>
    <w:rsid w:val="152654A2"/>
    <w:rsid w:val="1855029B"/>
    <w:rsid w:val="18C12B49"/>
    <w:rsid w:val="19BC72EC"/>
    <w:rsid w:val="1A695C2B"/>
    <w:rsid w:val="1C384624"/>
    <w:rsid w:val="1D17047A"/>
    <w:rsid w:val="1EC44246"/>
    <w:rsid w:val="1EE11793"/>
    <w:rsid w:val="23C10980"/>
    <w:rsid w:val="246479F7"/>
    <w:rsid w:val="27C04678"/>
    <w:rsid w:val="285E4EAF"/>
    <w:rsid w:val="292B6D90"/>
    <w:rsid w:val="2961115C"/>
    <w:rsid w:val="2E5A0B83"/>
    <w:rsid w:val="31D174E6"/>
    <w:rsid w:val="321D0F91"/>
    <w:rsid w:val="32913F89"/>
    <w:rsid w:val="33D762F3"/>
    <w:rsid w:val="352D5117"/>
    <w:rsid w:val="3AEB3DD8"/>
    <w:rsid w:val="3CA91B87"/>
    <w:rsid w:val="3D200114"/>
    <w:rsid w:val="3D306ED8"/>
    <w:rsid w:val="3E52178B"/>
    <w:rsid w:val="3EC5262B"/>
    <w:rsid w:val="3EE339B7"/>
    <w:rsid w:val="3F1B245D"/>
    <w:rsid w:val="41E725EC"/>
    <w:rsid w:val="41EF655F"/>
    <w:rsid w:val="42344F20"/>
    <w:rsid w:val="42C40FF3"/>
    <w:rsid w:val="446B13F5"/>
    <w:rsid w:val="46D365CC"/>
    <w:rsid w:val="49912949"/>
    <w:rsid w:val="4A5266F4"/>
    <w:rsid w:val="4E497A0A"/>
    <w:rsid w:val="4F3D396C"/>
    <w:rsid w:val="50841CE0"/>
    <w:rsid w:val="54451FD6"/>
    <w:rsid w:val="557949ED"/>
    <w:rsid w:val="59A93FF5"/>
    <w:rsid w:val="5ABC36FF"/>
    <w:rsid w:val="5B1B7D31"/>
    <w:rsid w:val="5CED3FF8"/>
    <w:rsid w:val="5DE87F30"/>
    <w:rsid w:val="5E2B1C74"/>
    <w:rsid w:val="5FB45F47"/>
    <w:rsid w:val="60F719D1"/>
    <w:rsid w:val="62135E29"/>
    <w:rsid w:val="66111CBA"/>
    <w:rsid w:val="683926FA"/>
    <w:rsid w:val="6ACC4D05"/>
    <w:rsid w:val="6DB20350"/>
    <w:rsid w:val="6ED04C70"/>
    <w:rsid w:val="70CE6E18"/>
    <w:rsid w:val="75D35195"/>
    <w:rsid w:val="767E38D2"/>
    <w:rsid w:val="791C265E"/>
    <w:rsid w:val="79C84F06"/>
    <w:rsid w:val="7A005668"/>
    <w:rsid w:val="7A357475"/>
    <w:rsid w:val="7B58574B"/>
    <w:rsid w:val="7C9055EA"/>
    <w:rsid w:val="7DA22E06"/>
    <w:rsid w:val="7F8E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AA"/>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rsid w:val="003F6D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F6DA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3F6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qFormat/>
    <w:rsid w:val="003F6DAA"/>
    <w:rPr>
      <w:color w:val="CC6699"/>
      <w:sz w:val="12"/>
      <w:szCs w:val="12"/>
      <w:u w:val="none"/>
    </w:rPr>
  </w:style>
  <w:style w:type="character" w:styleId="a6">
    <w:name w:val="Hyperlink"/>
    <w:basedOn w:val="a0"/>
    <w:uiPriority w:val="99"/>
    <w:semiHidden/>
    <w:unhideWhenUsed/>
    <w:qFormat/>
    <w:rsid w:val="003F6DAA"/>
    <w:rPr>
      <w:color w:val="0000FF"/>
      <w:sz w:val="12"/>
      <w:szCs w:val="12"/>
      <w:u w:val="none"/>
    </w:rPr>
  </w:style>
  <w:style w:type="character" w:customStyle="1" w:styleId="3Char">
    <w:name w:val="标题 3 Char"/>
    <w:basedOn w:val="a0"/>
    <w:link w:val="3"/>
    <w:uiPriority w:val="9"/>
    <w:qFormat/>
    <w:rsid w:val="003F6DAA"/>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4</DocSecurity>
  <Lines>12</Lines>
  <Paragraphs>3</Paragraphs>
  <ScaleCrop>false</ScaleCrop>
  <Company>mycompany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2024-04-09T16:02:00Z</dcterms:created>
  <dcterms:modified xsi:type="dcterms:W3CDTF">2024-04-09T16:02:00Z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F313023C15A44C23B11616F79C221C10</vt:lpwstr>
  </property>
</Properties>
</file>