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74" w:rsidRPr="00E3320B" w:rsidRDefault="00C87A6C" w:rsidP="001B7AF6">
      <w:pPr>
        <w:snapToGrid w:val="0"/>
        <w:spacing w:beforeLines="50" w:afterLines="50" w:line="360" w:lineRule="auto"/>
        <w:jc w:val="center"/>
        <w:rPr>
          <w:rFonts w:ascii="宋体" w:hAnsi="宋体"/>
          <w:b/>
          <w:sz w:val="28"/>
          <w:szCs w:val="28"/>
        </w:rPr>
      </w:pPr>
      <w:bookmarkStart w:id="0" w:name="_GoBack"/>
      <w:bookmarkEnd w:id="0"/>
      <w:r w:rsidRPr="00E3320B">
        <w:rPr>
          <w:rFonts w:ascii="宋体" w:hAnsi="宋体" w:hint="eastAsia"/>
          <w:b/>
          <w:sz w:val="28"/>
          <w:szCs w:val="28"/>
          <w:lang/>
        </w:rPr>
        <w:t>泰康基金管理有限公司</w:t>
      </w:r>
      <w:r w:rsidR="00EE1C68" w:rsidRPr="00E3320B">
        <w:rPr>
          <w:rFonts w:ascii="宋体" w:hAnsi="宋体"/>
          <w:b/>
          <w:sz w:val="28"/>
          <w:szCs w:val="28"/>
          <w:lang/>
        </w:rPr>
        <w:br/>
      </w:r>
      <w:r w:rsidR="00B74AB9" w:rsidRPr="00E3320B">
        <w:rPr>
          <w:rFonts w:ascii="宋体" w:hAnsi="宋体" w:hint="eastAsia"/>
          <w:b/>
          <w:sz w:val="28"/>
          <w:szCs w:val="28"/>
          <w:lang/>
        </w:rPr>
        <w:t>关于调整泰康中证500交易型开放式指数证券投资基金费率并修订基金合同等法律文件的公告</w:t>
      </w:r>
    </w:p>
    <w:p w:rsidR="00B74AB9" w:rsidRPr="00E3320B" w:rsidRDefault="00B74AB9" w:rsidP="00B74AB9">
      <w:pPr>
        <w:adjustRightInd w:val="0"/>
        <w:snapToGrid w:val="0"/>
        <w:spacing w:line="360" w:lineRule="auto"/>
        <w:ind w:firstLineChars="200" w:firstLine="480"/>
        <w:rPr>
          <w:rFonts w:ascii="宋体" w:hAnsi="宋体" w:cs="Arial"/>
          <w:sz w:val="24"/>
        </w:rPr>
      </w:pPr>
      <w:r w:rsidRPr="00E3320B">
        <w:rPr>
          <w:rFonts w:ascii="宋体" w:hAnsi="宋体" w:cs="Arial"/>
          <w:sz w:val="24"/>
        </w:rPr>
        <w:t xml:space="preserve"> </w:t>
      </w:r>
      <w:r w:rsidRPr="00E3320B">
        <w:rPr>
          <w:rFonts w:ascii="宋体" w:hAnsi="宋体" w:cs="Arial" w:hint="eastAsia"/>
          <w:sz w:val="24"/>
        </w:rPr>
        <w:t>为更好地满足广大投资者的投资理财需求，根据《中华人民共和国证券投资基金法》《公开募集证券投资基金运作管理办法》等法律法规的规定以及《泰康中证500交易型开放式指数证券投资基金基金合同》（以下简称</w:t>
      </w:r>
      <w:r w:rsidRPr="00E3320B">
        <w:rPr>
          <w:rFonts w:ascii="宋体" w:hAnsi="宋体" w:cs="Arial"/>
          <w:sz w:val="24"/>
        </w:rPr>
        <w:t>“</w:t>
      </w:r>
      <w:r w:rsidRPr="00E3320B">
        <w:rPr>
          <w:rFonts w:ascii="宋体" w:hAnsi="宋体" w:cs="Arial" w:hint="eastAsia"/>
          <w:sz w:val="24"/>
        </w:rPr>
        <w:t>基金合同</w:t>
      </w:r>
      <w:r w:rsidRPr="00E3320B">
        <w:rPr>
          <w:rFonts w:ascii="宋体" w:hAnsi="宋体" w:cs="Arial"/>
          <w:sz w:val="24"/>
        </w:rPr>
        <w:t>”</w:t>
      </w:r>
      <w:r w:rsidRPr="00E3320B">
        <w:rPr>
          <w:rFonts w:ascii="宋体" w:hAnsi="宋体" w:cs="Arial" w:hint="eastAsia"/>
          <w:sz w:val="24"/>
        </w:rPr>
        <w:t>）的约定，泰康基金管理有限公司（以下简称</w:t>
      </w:r>
      <w:r w:rsidRPr="00E3320B">
        <w:rPr>
          <w:rFonts w:ascii="宋体" w:hAnsi="宋体" w:cs="Arial"/>
          <w:sz w:val="24"/>
        </w:rPr>
        <w:t>“</w:t>
      </w:r>
      <w:r w:rsidRPr="00E3320B">
        <w:rPr>
          <w:rFonts w:ascii="宋体" w:hAnsi="宋体" w:cs="Arial" w:hint="eastAsia"/>
          <w:sz w:val="24"/>
        </w:rPr>
        <w:t>本公司</w:t>
      </w:r>
      <w:r w:rsidRPr="00E3320B">
        <w:rPr>
          <w:rFonts w:ascii="宋体" w:hAnsi="宋体" w:cs="Arial"/>
          <w:sz w:val="24"/>
        </w:rPr>
        <w:t>”</w:t>
      </w:r>
      <w:r w:rsidRPr="00E3320B">
        <w:rPr>
          <w:rFonts w:ascii="宋体" w:hAnsi="宋体" w:cs="Arial" w:hint="eastAsia"/>
          <w:sz w:val="24"/>
        </w:rPr>
        <w:t>）经与泰康中证500交易型开放式指数证券投资基金（基金代码：</w:t>
      </w:r>
      <w:r w:rsidRPr="00E3320B">
        <w:rPr>
          <w:rFonts w:ascii="宋体" w:hAnsi="宋体" w:cs="Arial"/>
          <w:sz w:val="24"/>
        </w:rPr>
        <w:t>515530</w:t>
      </w:r>
      <w:r w:rsidRPr="00E3320B">
        <w:rPr>
          <w:rFonts w:ascii="宋体" w:hAnsi="宋体" w:cs="Arial" w:hint="eastAsia"/>
          <w:sz w:val="24"/>
        </w:rPr>
        <w:t>，场内简称：</w:t>
      </w:r>
      <w:r w:rsidRPr="00E3320B">
        <w:rPr>
          <w:rFonts w:ascii="宋体" w:hAnsi="宋体" w:cs="Arial"/>
          <w:sz w:val="24"/>
        </w:rPr>
        <w:t>泰康</w:t>
      </w:r>
      <w:r w:rsidRPr="00E3320B">
        <w:rPr>
          <w:rFonts w:ascii="宋体" w:hAnsi="宋体" w:cs="Arial" w:hint="eastAsia"/>
          <w:sz w:val="24"/>
        </w:rPr>
        <w:t>5</w:t>
      </w:r>
      <w:r w:rsidRPr="00E3320B">
        <w:rPr>
          <w:rFonts w:ascii="宋体" w:hAnsi="宋体" w:cs="Arial"/>
          <w:sz w:val="24"/>
        </w:rPr>
        <w:t>00</w:t>
      </w:r>
      <w:r w:rsidRPr="00E3320B">
        <w:rPr>
          <w:rFonts w:ascii="宋体" w:hAnsi="宋体" w:cs="Arial" w:hint="eastAsia"/>
          <w:sz w:val="24"/>
        </w:rPr>
        <w:t>，扩位证券简称：中证500ETF泰康，以下简称</w:t>
      </w:r>
      <w:r w:rsidRPr="00E3320B">
        <w:rPr>
          <w:rFonts w:ascii="宋体" w:hAnsi="宋体" w:cs="Arial"/>
          <w:sz w:val="24"/>
        </w:rPr>
        <w:t>“</w:t>
      </w:r>
      <w:r w:rsidRPr="00E3320B">
        <w:rPr>
          <w:rFonts w:ascii="宋体" w:hAnsi="宋体" w:cs="Arial" w:hint="eastAsia"/>
          <w:sz w:val="24"/>
        </w:rPr>
        <w:t>本基金</w:t>
      </w:r>
      <w:r w:rsidRPr="00E3320B">
        <w:rPr>
          <w:rFonts w:ascii="宋体" w:hAnsi="宋体" w:cs="Arial"/>
          <w:sz w:val="24"/>
        </w:rPr>
        <w:t>”</w:t>
      </w:r>
      <w:r w:rsidRPr="00E3320B">
        <w:rPr>
          <w:rFonts w:ascii="宋体" w:hAnsi="宋体" w:cs="Arial" w:hint="eastAsia"/>
          <w:sz w:val="24"/>
        </w:rPr>
        <w:t>）的基金托管人招商银行股份有限公司协商一致，决定自</w:t>
      </w:r>
      <w:r w:rsidRPr="00E3320B">
        <w:rPr>
          <w:rFonts w:ascii="宋体" w:hAnsi="宋体" w:cs="Arial"/>
          <w:sz w:val="24"/>
        </w:rPr>
        <w:t>2024</w:t>
      </w:r>
      <w:r w:rsidRPr="00E3320B">
        <w:rPr>
          <w:rFonts w:ascii="宋体" w:hAnsi="宋体" w:cs="Arial" w:hint="eastAsia"/>
          <w:sz w:val="24"/>
        </w:rPr>
        <w:t>年</w:t>
      </w:r>
      <w:r w:rsidRPr="00E3320B">
        <w:rPr>
          <w:rFonts w:ascii="宋体" w:hAnsi="宋体" w:cs="Arial"/>
          <w:sz w:val="24"/>
        </w:rPr>
        <w:t>4月</w:t>
      </w:r>
      <w:r w:rsidR="00E3320B" w:rsidRPr="00E3320B">
        <w:rPr>
          <w:rFonts w:ascii="宋体" w:hAnsi="宋体" w:cs="Arial"/>
          <w:sz w:val="24"/>
        </w:rPr>
        <w:t>10</w:t>
      </w:r>
      <w:r w:rsidRPr="00E3320B">
        <w:rPr>
          <w:rFonts w:ascii="宋体" w:hAnsi="宋体" w:cs="Arial"/>
          <w:sz w:val="24"/>
        </w:rPr>
        <w:t>日</w:t>
      </w:r>
      <w:r w:rsidRPr="00E3320B">
        <w:rPr>
          <w:rFonts w:ascii="宋体" w:hAnsi="宋体" w:cs="Arial" w:hint="eastAsia"/>
          <w:sz w:val="24"/>
        </w:rPr>
        <w:t>起调低本基金的管理费率，并据此对本基金基金合同等法律文件进行相应修订。</w:t>
      </w:r>
    </w:p>
    <w:p w:rsidR="00B74AB9" w:rsidRPr="00E3320B" w:rsidRDefault="00B74AB9" w:rsidP="00B74AB9">
      <w:pPr>
        <w:adjustRightInd w:val="0"/>
        <w:snapToGrid w:val="0"/>
        <w:spacing w:line="360" w:lineRule="auto"/>
        <w:ind w:firstLineChars="200" w:firstLine="480"/>
        <w:rPr>
          <w:rFonts w:ascii="宋体" w:hAnsi="宋体" w:cs="Arial"/>
          <w:sz w:val="24"/>
        </w:rPr>
      </w:pPr>
      <w:r w:rsidRPr="00E3320B">
        <w:rPr>
          <w:rFonts w:ascii="宋体" w:hAnsi="宋体" w:cs="Arial" w:hint="eastAsia"/>
          <w:sz w:val="24"/>
        </w:rPr>
        <w:t>现将有关修订内容说明如下：</w:t>
      </w:r>
    </w:p>
    <w:p w:rsidR="00B74AB9" w:rsidRPr="00E3320B" w:rsidRDefault="00B74AB9" w:rsidP="00B74AB9">
      <w:pPr>
        <w:adjustRightInd w:val="0"/>
        <w:snapToGrid w:val="0"/>
        <w:spacing w:line="360" w:lineRule="auto"/>
        <w:ind w:firstLineChars="200" w:firstLine="480"/>
        <w:rPr>
          <w:rFonts w:ascii="宋体" w:hAnsi="宋体" w:cs="Arial"/>
          <w:sz w:val="24"/>
        </w:rPr>
      </w:pPr>
      <w:r w:rsidRPr="00E3320B">
        <w:rPr>
          <w:rFonts w:ascii="宋体" w:hAnsi="宋体" w:cs="Arial"/>
          <w:sz w:val="24"/>
        </w:rPr>
        <w:t>1.</w:t>
      </w:r>
      <w:r w:rsidRPr="00E3320B">
        <w:rPr>
          <w:rFonts w:ascii="宋体" w:hAnsi="宋体" w:cs="Arial" w:hint="eastAsia"/>
          <w:sz w:val="24"/>
        </w:rPr>
        <w:t>根据相关法律法规和本基金基金合同的约定，本公司决定调低本基金管理费：管理费率从</w:t>
      </w:r>
      <w:r w:rsidRPr="00E3320B">
        <w:rPr>
          <w:rFonts w:ascii="宋体" w:hAnsi="宋体" w:cs="Arial"/>
          <w:sz w:val="24"/>
        </w:rPr>
        <w:t>0.40%/</w:t>
      </w:r>
      <w:r w:rsidRPr="00E3320B">
        <w:rPr>
          <w:rFonts w:ascii="宋体" w:hAnsi="宋体" w:cs="Arial" w:hint="eastAsia"/>
          <w:sz w:val="24"/>
        </w:rPr>
        <w:t>年下调至</w:t>
      </w:r>
      <w:r w:rsidRPr="00E3320B">
        <w:rPr>
          <w:rFonts w:ascii="宋体" w:hAnsi="宋体" w:cs="Arial"/>
          <w:sz w:val="24"/>
        </w:rPr>
        <w:t>0.15%/</w:t>
      </w:r>
      <w:r w:rsidRPr="00E3320B">
        <w:rPr>
          <w:rFonts w:ascii="宋体" w:hAnsi="宋体" w:cs="Arial" w:hint="eastAsia"/>
          <w:sz w:val="24"/>
        </w:rPr>
        <w:t>年，并对本基金基金合同中涉及的相关内容进行修订，本基金的托管协议、招募说明书、基金产品资料概要据此相应进行必要修订。</w:t>
      </w:r>
      <w:r w:rsidR="00990BAF" w:rsidRPr="00E3320B">
        <w:rPr>
          <w:rFonts w:ascii="宋体" w:hAnsi="宋体" w:cs="Arial" w:hint="eastAsia"/>
          <w:sz w:val="24"/>
        </w:rPr>
        <w:t>以上</w:t>
      </w:r>
      <w:r w:rsidRPr="00E3320B">
        <w:rPr>
          <w:rFonts w:ascii="宋体" w:hAnsi="宋体" w:cs="Arial" w:hint="eastAsia"/>
          <w:sz w:val="24"/>
        </w:rPr>
        <w:t>调整自</w:t>
      </w:r>
      <w:r w:rsidRPr="00E3320B">
        <w:rPr>
          <w:rFonts w:ascii="宋体" w:hAnsi="宋体" w:cs="Arial"/>
          <w:sz w:val="24"/>
        </w:rPr>
        <w:t>2024</w:t>
      </w:r>
      <w:r w:rsidRPr="00E3320B">
        <w:rPr>
          <w:rFonts w:ascii="宋体" w:hAnsi="宋体" w:cs="Arial" w:hint="eastAsia"/>
          <w:sz w:val="24"/>
        </w:rPr>
        <w:t>年</w:t>
      </w:r>
      <w:r w:rsidRPr="00E3320B">
        <w:rPr>
          <w:rFonts w:ascii="宋体" w:hAnsi="宋体" w:cs="Arial"/>
          <w:sz w:val="24"/>
        </w:rPr>
        <w:t>4月</w:t>
      </w:r>
      <w:r w:rsidR="00E3320B" w:rsidRPr="00E3320B">
        <w:rPr>
          <w:rFonts w:ascii="宋体" w:hAnsi="宋体" w:cs="Arial"/>
          <w:sz w:val="24"/>
        </w:rPr>
        <w:t>10</w:t>
      </w:r>
      <w:r w:rsidRPr="00E3320B">
        <w:rPr>
          <w:rFonts w:ascii="宋体" w:hAnsi="宋体" w:cs="Arial"/>
          <w:sz w:val="24"/>
        </w:rPr>
        <w:t>日</w:t>
      </w:r>
      <w:r w:rsidRPr="00E3320B">
        <w:rPr>
          <w:rFonts w:ascii="宋体" w:hAnsi="宋体" w:cs="Arial" w:hint="eastAsia"/>
          <w:sz w:val="24"/>
        </w:rPr>
        <w:t>起生效。</w:t>
      </w:r>
    </w:p>
    <w:p w:rsidR="00B74AB9" w:rsidRPr="00E3320B" w:rsidRDefault="00B74AB9" w:rsidP="00B74AB9">
      <w:pPr>
        <w:adjustRightInd w:val="0"/>
        <w:snapToGrid w:val="0"/>
        <w:spacing w:line="360" w:lineRule="auto"/>
        <w:ind w:firstLineChars="200" w:firstLine="480"/>
        <w:rPr>
          <w:rFonts w:ascii="宋体" w:hAnsi="宋体" w:cs="Arial"/>
          <w:sz w:val="24"/>
        </w:rPr>
      </w:pPr>
      <w:r w:rsidRPr="00E3320B">
        <w:rPr>
          <w:rFonts w:ascii="宋体" w:hAnsi="宋体" w:cs="Arial"/>
          <w:sz w:val="24"/>
        </w:rPr>
        <w:t>2.</w:t>
      </w:r>
      <w:r w:rsidR="006A67ED" w:rsidRPr="00E3320B">
        <w:rPr>
          <w:rFonts w:ascii="宋体" w:hAnsi="宋体" w:cs="Arial" w:hint="eastAsia"/>
          <w:sz w:val="24"/>
        </w:rPr>
        <w:t>本次因降低管理费率对基金</w:t>
      </w:r>
      <w:r w:rsidR="00E75B5D" w:rsidRPr="00E3320B">
        <w:rPr>
          <w:rFonts w:ascii="宋体" w:hAnsi="宋体" w:cs="Arial" w:hint="eastAsia"/>
          <w:sz w:val="24"/>
        </w:rPr>
        <w:t>法律文件</w:t>
      </w:r>
      <w:r w:rsidR="006A67ED" w:rsidRPr="00E3320B">
        <w:rPr>
          <w:rFonts w:ascii="宋体" w:hAnsi="宋体" w:cs="Arial" w:hint="eastAsia"/>
          <w:sz w:val="24"/>
        </w:rPr>
        <w:t>进行的必要修改对基金份额持有人的利益无实质性不利影响，不需召开基金份额持有人大会。</w:t>
      </w:r>
      <w:r w:rsidRPr="00E3320B">
        <w:rPr>
          <w:rFonts w:ascii="宋体" w:hAnsi="宋体" w:cs="Arial" w:hint="eastAsia"/>
          <w:sz w:val="24"/>
        </w:rPr>
        <w:t>本基金的基金合同、托管协议、招募说明书和基金产品资料概要修订的内容和程序符合有关法律法规和基金合同的规定。除上述要素外，其余要素不作变更。本次修订后的基金合同、托管协议、招募说明书（更新）和基金产品资料概要（更新）将在本公司网站（</w:t>
      </w:r>
      <w:r w:rsidRPr="00E3320B">
        <w:rPr>
          <w:rFonts w:ascii="宋体" w:hAnsi="宋体" w:cs="Arial"/>
          <w:sz w:val="24"/>
        </w:rPr>
        <w:t>www.tkfunds.com.cn</w:t>
      </w:r>
      <w:r w:rsidRPr="00E3320B">
        <w:rPr>
          <w:rFonts w:ascii="宋体" w:hAnsi="宋体" w:cs="Arial" w:hint="eastAsia"/>
          <w:sz w:val="24"/>
        </w:rPr>
        <w:t>）和中国证监会基金电子披露网站（</w:t>
      </w:r>
      <w:r w:rsidRPr="00E3320B">
        <w:rPr>
          <w:rFonts w:ascii="宋体" w:hAnsi="宋体" w:cs="Arial"/>
          <w:sz w:val="24"/>
        </w:rPr>
        <w:t>http://eid.csrc.gov.cn/fund</w:t>
      </w:r>
      <w:r w:rsidRPr="00E3320B">
        <w:rPr>
          <w:rFonts w:ascii="宋体" w:hAnsi="宋体" w:cs="Arial" w:hint="eastAsia"/>
          <w:sz w:val="24"/>
        </w:rPr>
        <w:t>）发布。投资人办理基金交易等相关业务前，应仔细阅读基金合同、招募说明书（更新）、基金产品资料概要（更新）、风险提示及相关业务规则和操作指南等文件。</w:t>
      </w:r>
    </w:p>
    <w:p w:rsidR="00B74AB9" w:rsidRPr="00E3320B" w:rsidRDefault="00B74AB9" w:rsidP="00B74AB9">
      <w:pPr>
        <w:adjustRightInd w:val="0"/>
        <w:snapToGrid w:val="0"/>
        <w:spacing w:line="360" w:lineRule="auto"/>
        <w:ind w:firstLineChars="200" w:firstLine="480"/>
        <w:rPr>
          <w:rFonts w:ascii="宋体" w:hAnsi="宋体" w:cs="Arial"/>
          <w:sz w:val="24"/>
        </w:rPr>
      </w:pPr>
      <w:r w:rsidRPr="00E3320B">
        <w:rPr>
          <w:rFonts w:ascii="宋体" w:hAnsi="宋体" w:cs="Arial" w:hint="eastAsia"/>
          <w:sz w:val="24"/>
        </w:rPr>
        <w:t>投资人可访问本公司网站</w:t>
      </w:r>
      <w:r w:rsidRPr="00E3320B">
        <w:rPr>
          <w:rFonts w:ascii="宋体" w:hAnsi="宋体" w:cs="Arial"/>
          <w:sz w:val="24"/>
        </w:rPr>
        <w:t>(www.tkfunds.com.cn)</w:t>
      </w:r>
      <w:r w:rsidRPr="00E3320B">
        <w:rPr>
          <w:rFonts w:ascii="宋体" w:hAnsi="宋体" w:cs="Arial" w:hint="eastAsia"/>
          <w:sz w:val="24"/>
        </w:rPr>
        <w:t>或拨打客户服务电话（</w:t>
      </w:r>
      <w:r w:rsidRPr="00E3320B">
        <w:rPr>
          <w:rFonts w:ascii="宋体" w:hAnsi="宋体" w:cs="Arial"/>
          <w:sz w:val="24"/>
        </w:rPr>
        <w:t>4001895522</w:t>
      </w:r>
      <w:r w:rsidRPr="00E3320B">
        <w:rPr>
          <w:rFonts w:ascii="宋体" w:hAnsi="宋体" w:cs="Arial" w:hint="eastAsia"/>
          <w:sz w:val="24"/>
        </w:rPr>
        <w:t>）咨询相关情况。</w:t>
      </w:r>
    </w:p>
    <w:p w:rsidR="00B74AB9" w:rsidRPr="00E3320B" w:rsidRDefault="00B74AB9" w:rsidP="00B74AB9">
      <w:pPr>
        <w:adjustRightInd w:val="0"/>
        <w:snapToGrid w:val="0"/>
        <w:spacing w:line="360" w:lineRule="auto"/>
        <w:ind w:firstLineChars="200" w:firstLine="480"/>
        <w:rPr>
          <w:rFonts w:ascii="宋体" w:hAnsi="宋体" w:cs="Arial"/>
          <w:sz w:val="24"/>
        </w:rPr>
      </w:pPr>
      <w:r w:rsidRPr="00E3320B">
        <w:rPr>
          <w:rFonts w:ascii="宋体" w:hAnsi="宋体" w:cs="Arial" w:hint="eastAsia"/>
          <w:sz w:val="24"/>
        </w:rPr>
        <w:t>风险提示：本基金管理人承诺以诚实信用、勤勉尽责的原则管理和运用基金资产，但不保证基金一定盈利，也不保证最低收益。基金的过往业绩并不预示其</w:t>
      </w:r>
      <w:r w:rsidRPr="00E3320B">
        <w:rPr>
          <w:rFonts w:ascii="宋体" w:hAnsi="宋体" w:cs="Arial" w:hint="eastAsia"/>
          <w:sz w:val="24"/>
        </w:rPr>
        <w:lastRenderedPageBreak/>
        <w:t>未来表现。投资有风险，敬请投资人于投资前认真阅读相关基金的基金合同、基金招募说明书和招募说明书（更新）等法律文件，并选择适合自己风险承受能力的投资品种进行投资。</w:t>
      </w:r>
    </w:p>
    <w:p w:rsidR="00B74AB9" w:rsidRPr="00E3320B" w:rsidRDefault="00B74AB9" w:rsidP="00B74AB9">
      <w:pPr>
        <w:adjustRightInd w:val="0"/>
        <w:snapToGrid w:val="0"/>
        <w:spacing w:line="360" w:lineRule="auto"/>
        <w:ind w:firstLineChars="200" w:firstLine="480"/>
        <w:rPr>
          <w:rFonts w:ascii="宋体" w:hAnsi="宋体" w:cs="Arial"/>
          <w:sz w:val="24"/>
        </w:rPr>
      </w:pPr>
      <w:r w:rsidRPr="00E3320B">
        <w:rPr>
          <w:rFonts w:ascii="宋体" w:hAnsi="宋体" w:cs="Arial"/>
          <w:sz w:val="24"/>
        </w:rPr>
        <w:t>特此公告。</w:t>
      </w:r>
    </w:p>
    <w:p w:rsidR="00B74AB9" w:rsidRPr="00E3320B" w:rsidRDefault="00B74AB9" w:rsidP="00B74AB9">
      <w:pPr>
        <w:adjustRightInd w:val="0"/>
        <w:snapToGrid w:val="0"/>
        <w:spacing w:line="360" w:lineRule="auto"/>
        <w:ind w:firstLineChars="200" w:firstLine="480"/>
        <w:jc w:val="right"/>
        <w:rPr>
          <w:rFonts w:ascii="宋体" w:hAnsi="宋体" w:cs="Arial"/>
          <w:sz w:val="24"/>
        </w:rPr>
      </w:pPr>
      <w:r w:rsidRPr="00E3320B">
        <w:rPr>
          <w:rFonts w:ascii="宋体" w:hAnsi="宋体" w:cs="Arial"/>
          <w:sz w:val="24"/>
        </w:rPr>
        <w:t>泰康基金管理有限公司</w:t>
      </w:r>
    </w:p>
    <w:p w:rsidR="00B74AB9" w:rsidRDefault="00B74AB9" w:rsidP="00B74AB9">
      <w:pPr>
        <w:adjustRightInd w:val="0"/>
        <w:snapToGrid w:val="0"/>
        <w:spacing w:line="360" w:lineRule="auto"/>
        <w:ind w:firstLineChars="200" w:firstLine="480"/>
        <w:jc w:val="right"/>
        <w:rPr>
          <w:rFonts w:ascii="宋体" w:hAnsi="宋体" w:cs="Arial"/>
          <w:sz w:val="24"/>
        </w:rPr>
      </w:pPr>
      <w:r w:rsidRPr="00E3320B">
        <w:rPr>
          <w:rFonts w:ascii="宋体" w:hAnsi="宋体" w:cs="Arial"/>
          <w:sz w:val="24"/>
        </w:rPr>
        <w:t>2024</w:t>
      </w:r>
      <w:r w:rsidRPr="00E3320B">
        <w:rPr>
          <w:rFonts w:ascii="宋体" w:hAnsi="宋体" w:cs="Arial" w:hint="eastAsia"/>
          <w:sz w:val="24"/>
        </w:rPr>
        <w:t>年</w:t>
      </w:r>
      <w:r w:rsidRPr="00E3320B">
        <w:rPr>
          <w:rFonts w:ascii="宋体" w:hAnsi="宋体" w:cs="Arial"/>
          <w:sz w:val="24"/>
        </w:rPr>
        <w:t>4月</w:t>
      </w:r>
      <w:r w:rsidR="00E3320B" w:rsidRPr="00E3320B">
        <w:rPr>
          <w:rFonts w:ascii="宋体" w:hAnsi="宋体" w:cs="Arial"/>
          <w:sz w:val="24"/>
        </w:rPr>
        <w:t>9</w:t>
      </w:r>
      <w:r w:rsidRPr="00E3320B">
        <w:rPr>
          <w:rFonts w:ascii="宋体" w:hAnsi="宋体" w:cs="Arial"/>
          <w:sz w:val="24"/>
        </w:rPr>
        <w:t>日</w:t>
      </w:r>
    </w:p>
    <w:p w:rsidR="00B74AB9" w:rsidRDefault="00B74AB9" w:rsidP="00507CD7">
      <w:pPr>
        <w:adjustRightInd w:val="0"/>
        <w:snapToGrid w:val="0"/>
        <w:spacing w:line="360" w:lineRule="auto"/>
        <w:ind w:firstLineChars="200" w:firstLine="480"/>
        <w:rPr>
          <w:rFonts w:ascii="宋体" w:hAnsi="宋体" w:cs="Arial"/>
          <w:sz w:val="24"/>
        </w:rPr>
      </w:pPr>
    </w:p>
    <w:p w:rsidR="00C74D7B" w:rsidRPr="00C74D7B" w:rsidRDefault="00C74D7B" w:rsidP="00B74AB9">
      <w:pPr>
        <w:adjustRightInd w:val="0"/>
        <w:snapToGrid w:val="0"/>
        <w:spacing w:line="360" w:lineRule="auto"/>
        <w:rPr>
          <w:rFonts w:ascii="宋体" w:hAnsi="宋体" w:cs="Arial"/>
          <w:sz w:val="24"/>
        </w:rPr>
      </w:pPr>
    </w:p>
    <w:sectPr w:rsidR="00C74D7B" w:rsidRPr="00C74D7B" w:rsidSect="009A7493">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E6" w:rsidRDefault="009700E6" w:rsidP="00625EB7">
      <w:r>
        <w:separator/>
      </w:r>
    </w:p>
  </w:endnote>
  <w:endnote w:type="continuationSeparator" w:id="0">
    <w:p w:rsidR="009700E6" w:rsidRDefault="009700E6" w:rsidP="00625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B3" w:rsidRDefault="00E74B4D">
    <w:pPr>
      <w:pStyle w:val="a6"/>
      <w:jc w:val="center"/>
    </w:pPr>
    <w:r>
      <w:fldChar w:fldCharType="begin"/>
    </w:r>
    <w:r w:rsidR="004620B3">
      <w:instrText>PAGE   \* MERGEFORMAT</w:instrText>
    </w:r>
    <w:r>
      <w:fldChar w:fldCharType="separate"/>
    </w:r>
    <w:r w:rsidR="001B7AF6" w:rsidRPr="001B7AF6">
      <w:rPr>
        <w:noProof/>
        <w:lang w:val="zh-CN" w:eastAsia="zh-CN"/>
      </w:rPr>
      <w:t>1</w:t>
    </w:r>
    <w:r>
      <w:fldChar w:fldCharType="end"/>
    </w:r>
  </w:p>
  <w:p w:rsidR="004620B3" w:rsidRDefault="004620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E6" w:rsidRDefault="009700E6" w:rsidP="00625EB7">
      <w:r>
        <w:separator/>
      </w:r>
    </w:p>
  </w:footnote>
  <w:footnote w:type="continuationSeparator" w:id="0">
    <w:p w:rsidR="009700E6" w:rsidRDefault="009700E6" w:rsidP="00625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50BD"/>
    <w:multiLevelType w:val="hybridMultilevel"/>
    <w:tmpl w:val="724C35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5F6DD7"/>
    <w:multiLevelType w:val="hybridMultilevel"/>
    <w:tmpl w:val="C0E8FEE4"/>
    <w:lvl w:ilvl="0" w:tplc="C682208C">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E3C1B07"/>
    <w:multiLevelType w:val="hybridMultilevel"/>
    <w:tmpl w:val="0D0CCA1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1EAC7039"/>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1B1EBA"/>
    <w:multiLevelType w:val="hybridMultilevel"/>
    <w:tmpl w:val="1146FC98"/>
    <w:lvl w:ilvl="0" w:tplc="415862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23A37CC"/>
    <w:multiLevelType w:val="hybridMultilevel"/>
    <w:tmpl w:val="A492F872"/>
    <w:lvl w:ilvl="0" w:tplc="7070D568">
      <w:start w:val="1"/>
      <w:numFmt w:val="japaneseCounting"/>
      <w:lvlText w:val="%1、"/>
      <w:lvlJc w:val="left"/>
      <w:pPr>
        <w:ind w:left="420" w:hanging="420"/>
      </w:pPr>
      <w:rPr>
        <w:rFonts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93B3E60"/>
    <w:multiLevelType w:val="multilevel"/>
    <w:tmpl w:val="393B3E60"/>
    <w:lvl w:ilvl="0">
      <w:start w:val="1"/>
      <w:numFmt w:val="chineseCountingThousand"/>
      <w:pStyle w:val="1"/>
      <w:suff w:val="nothing"/>
      <w:lvlText w:val="%1、"/>
      <w:lvlJc w:val="center"/>
      <w:pPr>
        <w:ind w:left="0" w:firstLine="288"/>
      </w:pPr>
      <w:rPr>
        <w:rFonts w:hint="eastAsia"/>
      </w:rPr>
    </w:lvl>
    <w:lvl w:ilvl="1">
      <w:start w:val="1"/>
      <w:numFmt w:val="chineseCountingThousand"/>
      <w:pStyle w:val="2"/>
      <w:lvlText w:val="（%2）"/>
      <w:lvlJc w:val="left"/>
      <w:pPr>
        <w:tabs>
          <w:tab w:val="num" w:pos="1260"/>
        </w:tabs>
        <w:ind w:left="180" w:firstLine="0"/>
      </w:pPr>
      <w:rPr>
        <w:rFonts w:hint="eastAsia"/>
        <w:sz w:val="21"/>
        <w:szCs w:val="21"/>
      </w:rPr>
    </w:lvl>
    <w:lvl w:ilvl="2">
      <w:start w:val="1"/>
      <w:numFmt w:val="decimal"/>
      <w:pStyle w:val="3"/>
      <w:lvlText w:val="%3."/>
      <w:lvlJc w:val="left"/>
      <w:pPr>
        <w:tabs>
          <w:tab w:val="num" w:pos="454"/>
        </w:tabs>
        <w:ind w:left="454" w:hanging="454"/>
      </w:pPr>
      <w:rPr>
        <w:rFonts w:ascii="Arial" w:eastAsia="宋体" w:hAnsi="Arial" w:cs="Arial" w:hint="default"/>
        <w:b w:val="0"/>
        <w:i w:val="0"/>
        <w:sz w:val="21"/>
      </w:rPr>
    </w:lvl>
    <w:lvl w:ilvl="3">
      <w:start w:val="1"/>
      <w:numFmt w:val="decimal"/>
      <w:pStyle w:val="4"/>
      <w:lvlText w:val="（%4）"/>
      <w:lvlJc w:val="left"/>
      <w:pPr>
        <w:tabs>
          <w:tab w:val="num" w:pos="720"/>
        </w:tabs>
        <w:ind w:left="0" w:firstLine="0"/>
      </w:pPr>
      <w:rPr>
        <w:rFonts w:ascii="Arial" w:eastAsia="宋体" w:hAnsi="Arial" w:cs="Arial" w:hint="default"/>
        <w:sz w:val="21"/>
      </w:rPr>
    </w:lvl>
    <w:lvl w:ilvl="4">
      <w:start w:val="1"/>
      <w:numFmt w:val="none"/>
      <w:pStyle w:val="5"/>
      <w:lvlText w:val=""/>
      <w:lvlJc w:val="left"/>
      <w:pPr>
        <w:tabs>
          <w:tab w:val="num" w:pos="360"/>
        </w:tabs>
        <w:ind w:left="0" w:firstLine="0"/>
      </w:pPr>
      <w:rPr>
        <w:rFonts w:hint="eastAsia"/>
        <w:sz w:val="24"/>
      </w:rPr>
    </w:lvl>
    <w:lvl w:ilvl="5">
      <w:start w:val="1"/>
      <w:numFmt w:val="upperLetter"/>
      <w:pStyle w:val="6"/>
      <w:lvlText w:val="%6."/>
      <w:lvlJc w:val="left"/>
      <w:pPr>
        <w:tabs>
          <w:tab w:val="num" w:pos="927"/>
        </w:tabs>
        <w:ind w:left="0" w:firstLine="567"/>
      </w:pPr>
      <w:rPr>
        <w:rFonts w:hint="eastAsia"/>
        <w:sz w:val="21"/>
        <w:szCs w:val="21"/>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45395FBF"/>
    <w:multiLevelType w:val="hybridMultilevel"/>
    <w:tmpl w:val="FDAA02C0"/>
    <w:lvl w:ilvl="0" w:tplc="52506198">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72870D4"/>
    <w:multiLevelType w:val="hybridMultilevel"/>
    <w:tmpl w:val="B42ED7D0"/>
    <w:lvl w:ilvl="0" w:tplc="18361A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9097504"/>
    <w:multiLevelType w:val="hybridMultilevel"/>
    <w:tmpl w:val="C0E8FEE4"/>
    <w:lvl w:ilvl="0" w:tplc="C682208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6E8281C"/>
    <w:multiLevelType w:val="hybridMultilevel"/>
    <w:tmpl w:val="6E5C2B86"/>
    <w:lvl w:ilvl="0" w:tplc="AB985490">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AD6843"/>
    <w:multiLevelType w:val="hybridMultilevel"/>
    <w:tmpl w:val="62C210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90A4DCC"/>
    <w:multiLevelType w:val="hybridMultilevel"/>
    <w:tmpl w:val="2C9CAD82"/>
    <w:lvl w:ilvl="0" w:tplc="434E691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C691A0E"/>
    <w:multiLevelType w:val="hybridMultilevel"/>
    <w:tmpl w:val="3940A21A"/>
    <w:lvl w:ilvl="0" w:tplc="A0CC604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C994D4B"/>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FB93EEF"/>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0"/>
  </w:num>
  <w:num w:numId="11">
    <w:abstractNumId w:val="8"/>
  </w:num>
  <w:num w:numId="12">
    <w:abstractNumId w:val="9"/>
  </w:num>
  <w:num w:numId="13">
    <w:abstractNumId w:val="12"/>
  </w:num>
  <w:num w:numId="14">
    <w:abstractNumId w:val="15"/>
  </w:num>
  <w:num w:numId="15">
    <w:abstractNumId w:val="1"/>
  </w:num>
  <w:num w:numId="16">
    <w:abstractNumId w:val="3"/>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96A"/>
    <w:rsid w:val="00001B49"/>
    <w:rsid w:val="00013725"/>
    <w:rsid w:val="00021AD9"/>
    <w:rsid w:val="00023667"/>
    <w:rsid w:val="0002403C"/>
    <w:rsid w:val="00025529"/>
    <w:rsid w:val="00025D10"/>
    <w:rsid w:val="0003103C"/>
    <w:rsid w:val="00032C67"/>
    <w:rsid w:val="00040FDD"/>
    <w:rsid w:val="00043779"/>
    <w:rsid w:val="00044CFE"/>
    <w:rsid w:val="000479AA"/>
    <w:rsid w:val="00054B41"/>
    <w:rsid w:val="00063199"/>
    <w:rsid w:val="00066185"/>
    <w:rsid w:val="00085B94"/>
    <w:rsid w:val="00090BCD"/>
    <w:rsid w:val="00091E50"/>
    <w:rsid w:val="0009390E"/>
    <w:rsid w:val="00093F75"/>
    <w:rsid w:val="000A30D7"/>
    <w:rsid w:val="000A53F3"/>
    <w:rsid w:val="000C1334"/>
    <w:rsid w:val="000D43A5"/>
    <w:rsid w:val="000E015F"/>
    <w:rsid w:val="000E37AA"/>
    <w:rsid w:val="000E509B"/>
    <w:rsid w:val="000F414D"/>
    <w:rsid w:val="00100401"/>
    <w:rsid w:val="00100681"/>
    <w:rsid w:val="00104A4B"/>
    <w:rsid w:val="00122F16"/>
    <w:rsid w:val="00131A47"/>
    <w:rsid w:val="001418B0"/>
    <w:rsid w:val="00142FA6"/>
    <w:rsid w:val="0014595D"/>
    <w:rsid w:val="001515B7"/>
    <w:rsid w:val="001613F3"/>
    <w:rsid w:val="00161910"/>
    <w:rsid w:val="00172A27"/>
    <w:rsid w:val="00186981"/>
    <w:rsid w:val="001911CB"/>
    <w:rsid w:val="00191361"/>
    <w:rsid w:val="001A64F2"/>
    <w:rsid w:val="001A6B85"/>
    <w:rsid w:val="001B485E"/>
    <w:rsid w:val="001B7AF6"/>
    <w:rsid w:val="001C7882"/>
    <w:rsid w:val="001D6F9A"/>
    <w:rsid w:val="001D72C2"/>
    <w:rsid w:val="001D7E8B"/>
    <w:rsid w:val="001E1E0B"/>
    <w:rsid w:val="001E7EC6"/>
    <w:rsid w:val="001F1C04"/>
    <w:rsid w:val="0021598D"/>
    <w:rsid w:val="00216ADD"/>
    <w:rsid w:val="002174E3"/>
    <w:rsid w:val="00221222"/>
    <w:rsid w:val="002235F7"/>
    <w:rsid w:val="00231FE4"/>
    <w:rsid w:val="002345F5"/>
    <w:rsid w:val="00241052"/>
    <w:rsid w:val="00245443"/>
    <w:rsid w:val="00246822"/>
    <w:rsid w:val="00252504"/>
    <w:rsid w:val="002536CA"/>
    <w:rsid w:val="00254DA6"/>
    <w:rsid w:val="00257B74"/>
    <w:rsid w:val="002603EF"/>
    <w:rsid w:val="00266B70"/>
    <w:rsid w:val="00271AFD"/>
    <w:rsid w:val="00271D93"/>
    <w:rsid w:val="00273EE9"/>
    <w:rsid w:val="00277152"/>
    <w:rsid w:val="002826EC"/>
    <w:rsid w:val="002849EC"/>
    <w:rsid w:val="0029150E"/>
    <w:rsid w:val="00291948"/>
    <w:rsid w:val="002A52BF"/>
    <w:rsid w:val="002D3A6E"/>
    <w:rsid w:val="002F33F4"/>
    <w:rsid w:val="00300712"/>
    <w:rsid w:val="00302545"/>
    <w:rsid w:val="003171F0"/>
    <w:rsid w:val="003207AA"/>
    <w:rsid w:val="00320CB2"/>
    <w:rsid w:val="003258E1"/>
    <w:rsid w:val="00326539"/>
    <w:rsid w:val="00326B73"/>
    <w:rsid w:val="003276DE"/>
    <w:rsid w:val="00332179"/>
    <w:rsid w:val="00335521"/>
    <w:rsid w:val="00337626"/>
    <w:rsid w:val="00344F25"/>
    <w:rsid w:val="00347ACD"/>
    <w:rsid w:val="0035574C"/>
    <w:rsid w:val="00357DC6"/>
    <w:rsid w:val="0036568E"/>
    <w:rsid w:val="00370D5E"/>
    <w:rsid w:val="00372270"/>
    <w:rsid w:val="00377BD4"/>
    <w:rsid w:val="00384895"/>
    <w:rsid w:val="00385726"/>
    <w:rsid w:val="00385FD6"/>
    <w:rsid w:val="0038641D"/>
    <w:rsid w:val="003903D6"/>
    <w:rsid w:val="0039474B"/>
    <w:rsid w:val="0039790B"/>
    <w:rsid w:val="003A0F54"/>
    <w:rsid w:val="003A36F4"/>
    <w:rsid w:val="003A5796"/>
    <w:rsid w:val="003A6081"/>
    <w:rsid w:val="003A62CB"/>
    <w:rsid w:val="003B1360"/>
    <w:rsid w:val="003B5FCD"/>
    <w:rsid w:val="003C1581"/>
    <w:rsid w:val="003D040A"/>
    <w:rsid w:val="003D2FAC"/>
    <w:rsid w:val="003D7BC6"/>
    <w:rsid w:val="003E596E"/>
    <w:rsid w:val="003F5A43"/>
    <w:rsid w:val="003F6FD5"/>
    <w:rsid w:val="00407495"/>
    <w:rsid w:val="004124C2"/>
    <w:rsid w:val="00414D22"/>
    <w:rsid w:val="00430BA2"/>
    <w:rsid w:val="0044610B"/>
    <w:rsid w:val="0045588D"/>
    <w:rsid w:val="00456203"/>
    <w:rsid w:val="00456AEE"/>
    <w:rsid w:val="0045789E"/>
    <w:rsid w:val="00461D07"/>
    <w:rsid w:val="004620B3"/>
    <w:rsid w:val="00462DA4"/>
    <w:rsid w:val="00472A5A"/>
    <w:rsid w:val="00474320"/>
    <w:rsid w:val="00477083"/>
    <w:rsid w:val="0049659E"/>
    <w:rsid w:val="00497D47"/>
    <w:rsid w:val="004A4BC0"/>
    <w:rsid w:val="004A68FA"/>
    <w:rsid w:val="004A767B"/>
    <w:rsid w:val="004C1B4C"/>
    <w:rsid w:val="004C51D6"/>
    <w:rsid w:val="004D2222"/>
    <w:rsid w:val="004E3C17"/>
    <w:rsid w:val="004F253C"/>
    <w:rsid w:val="0050669B"/>
    <w:rsid w:val="00507AC6"/>
    <w:rsid w:val="00507CD7"/>
    <w:rsid w:val="0051769F"/>
    <w:rsid w:val="00530693"/>
    <w:rsid w:val="00536A19"/>
    <w:rsid w:val="00537B98"/>
    <w:rsid w:val="0054229C"/>
    <w:rsid w:val="005471CF"/>
    <w:rsid w:val="00547E0C"/>
    <w:rsid w:val="00550376"/>
    <w:rsid w:val="00561113"/>
    <w:rsid w:val="0056769E"/>
    <w:rsid w:val="005745B2"/>
    <w:rsid w:val="00582379"/>
    <w:rsid w:val="005875FF"/>
    <w:rsid w:val="005943D4"/>
    <w:rsid w:val="005A283F"/>
    <w:rsid w:val="005A3111"/>
    <w:rsid w:val="005A34F3"/>
    <w:rsid w:val="005B65E8"/>
    <w:rsid w:val="005B6ACE"/>
    <w:rsid w:val="005B74AC"/>
    <w:rsid w:val="005C72D5"/>
    <w:rsid w:val="005C72EB"/>
    <w:rsid w:val="005D4932"/>
    <w:rsid w:val="005D4E5B"/>
    <w:rsid w:val="005E4438"/>
    <w:rsid w:val="005F5BE8"/>
    <w:rsid w:val="005F68C5"/>
    <w:rsid w:val="005F6F7A"/>
    <w:rsid w:val="005F76E0"/>
    <w:rsid w:val="006045A2"/>
    <w:rsid w:val="0060548D"/>
    <w:rsid w:val="006112A8"/>
    <w:rsid w:val="00611876"/>
    <w:rsid w:val="00613699"/>
    <w:rsid w:val="00615EC8"/>
    <w:rsid w:val="006178F6"/>
    <w:rsid w:val="00617BB7"/>
    <w:rsid w:val="00625D42"/>
    <w:rsid w:val="00625EB7"/>
    <w:rsid w:val="00632A39"/>
    <w:rsid w:val="00634344"/>
    <w:rsid w:val="0063644B"/>
    <w:rsid w:val="00640D5F"/>
    <w:rsid w:val="006523DA"/>
    <w:rsid w:val="0065311D"/>
    <w:rsid w:val="00655FCF"/>
    <w:rsid w:val="006562F8"/>
    <w:rsid w:val="00657F32"/>
    <w:rsid w:val="0066624E"/>
    <w:rsid w:val="00670144"/>
    <w:rsid w:val="00670F05"/>
    <w:rsid w:val="00675C44"/>
    <w:rsid w:val="006802DB"/>
    <w:rsid w:val="00685363"/>
    <w:rsid w:val="006864F2"/>
    <w:rsid w:val="00687C3B"/>
    <w:rsid w:val="006921B6"/>
    <w:rsid w:val="0069496F"/>
    <w:rsid w:val="006A0374"/>
    <w:rsid w:val="006A67ED"/>
    <w:rsid w:val="006C5E7F"/>
    <w:rsid w:val="006D2324"/>
    <w:rsid w:val="006D655E"/>
    <w:rsid w:val="006D7A5E"/>
    <w:rsid w:val="006E446D"/>
    <w:rsid w:val="0073074B"/>
    <w:rsid w:val="00731C81"/>
    <w:rsid w:val="00746824"/>
    <w:rsid w:val="007473C0"/>
    <w:rsid w:val="007519AB"/>
    <w:rsid w:val="00751F9E"/>
    <w:rsid w:val="00757DC2"/>
    <w:rsid w:val="007614DF"/>
    <w:rsid w:val="007639E9"/>
    <w:rsid w:val="00773853"/>
    <w:rsid w:val="00774FB0"/>
    <w:rsid w:val="007838F8"/>
    <w:rsid w:val="00785571"/>
    <w:rsid w:val="00795E7D"/>
    <w:rsid w:val="007A3C16"/>
    <w:rsid w:val="007A7282"/>
    <w:rsid w:val="007A7931"/>
    <w:rsid w:val="007B20D8"/>
    <w:rsid w:val="007B648F"/>
    <w:rsid w:val="007C6576"/>
    <w:rsid w:val="007C736E"/>
    <w:rsid w:val="007D1EEE"/>
    <w:rsid w:val="007D30F3"/>
    <w:rsid w:val="007E249D"/>
    <w:rsid w:val="007E60F2"/>
    <w:rsid w:val="0080496A"/>
    <w:rsid w:val="008133FF"/>
    <w:rsid w:val="00813695"/>
    <w:rsid w:val="00822B71"/>
    <w:rsid w:val="00823A16"/>
    <w:rsid w:val="0083217F"/>
    <w:rsid w:val="00835FD0"/>
    <w:rsid w:val="00836F35"/>
    <w:rsid w:val="008456B0"/>
    <w:rsid w:val="00846BDA"/>
    <w:rsid w:val="00855F26"/>
    <w:rsid w:val="00860F7D"/>
    <w:rsid w:val="008641C0"/>
    <w:rsid w:val="008647DF"/>
    <w:rsid w:val="00875F5B"/>
    <w:rsid w:val="00882EEC"/>
    <w:rsid w:val="00887D80"/>
    <w:rsid w:val="008A10C6"/>
    <w:rsid w:val="008A55BE"/>
    <w:rsid w:val="008A7799"/>
    <w:rsid w:val="008B0D7E"/>
    <w:rsid w:val="008B1A34"/>
    <w:rsid w:val="008B4492"/>
    <w:rsid w:val="008B5F86"/>
    <w:rsid w:val="008C09C7"/>
    <w:rsid w:val="008D15AF"/>
    <w:rsid w:val="008D477C"/>
    <w:rsid w:val="008E32ED"/>
    <w:rsid w:val="008E5CB1"/>
    <w:rsid w:val="008E7E38"/>
    <w:rsid w:val="008F4FA4"/>
    <w:rsid w:val="0090388A"/>
    <w:rsid w:val="009039E1"/>
    <w:rsid w:val="00903B0E"/>
    <w:rsid w:val="0090587A"/>
    <w:rsid w:val="00913C02"/>
    <w:rsid w:val="009220DF"/>
    <w:rsid w:val="00940402"/>
    <w:rsid w:val="00945534"/>
    <w:rsid w:val="009460B7"/>
    <w:rsid w:val="00950293"/>
    <w:rsid w:val="00956BC8"/>
    <w:rsid w:val="00961002"/>
    <w:rsid w:val="009700E6"/>
    <w:rsid w:val="0097276B"/>
    <w:rsid w:val="00976DCC"/>
    <w:rsid w:val="0099093F"/>
    <w:rsid w:val="00990BAF"/>
    <w:rsid w:val="00993ED2"/>
    <w:rsid w:val="00997CC3"/>
    <w:rsid w:val="009A15F1"/>
    <w:rsid w:val="009A3487"/>
    <w:rsid w:val="009A7493"/>
    <w:rsid w:val="009B4C28"/>
    <w:rsid w:val="009C4632"/>
    <w:rsid w:val="009C510A"/>
    <w:rsid w:val="009D3288"/>
    <w:rsid w:val="009D5805"/>
    <w:rsid w:val="009E670C"/>
    <w:rsid w:val="009F2112"/>
    <w:rsid w:val="009F3ECF"/>
    <w:rsid w:val="009F7EAA"/>
    <w:rsid w:val="00A03C78"/>
    <w:rsid w:val="00A106C7"/>
    <w:rsid w:val="00A10E48"/>
    <w:rsid w:val="00A127DE"/>
    <w:rsid w:val="00A220E6"/>
    <w:rsid w:val="00A248A0"/>
    <w:rsid w:val="00A24EBD"/>
    <w:rsid w:val="00A326EA"/>
    <w:rsid w:val="00A33379"/>
    <w:rsid w:val="00A33403"/>
    <w:rsid w:val="00A365E2"/>
    <w:rsid w:val="00A3693F"/>
    <w:rsid w:val="00A36C0B"/>
    <w:rsid w:val="00A55DB3"/>
    <w:rsid w:val="00A6136F"/>
    <w:rsid w:val="00A631BB"/>
    <w:rsid w:val="00A71530"/>
    <w:rsid w:val="00A7194F"/>
    <w:rsid w:val="00A728F9"/>
    <w:rsid w:val="00A76106"/>
    <w:rsid w:val="00A8184A"/>
    <w:rsid w:val="00A84C76"/>
    <w:rsid w:val="00A85A76"/>
    <w:rsid w:val="00A9210C"/>
    <w:rsid w:val="00A960ED"/>
    <w:rsid w:val="00AA5936"/>
    <w:rsid w:val="00AA635D"/>
    <w:rsid w:val="00AA698F"/>
    <w:rsid w:val="00AA7A95"/>
    <w:rsid w:val="00AB2209"/>
    <w:rsid w:val="00AB2349"/>
    <w:rsid w:val="00AC2861"/>
    <w:rsid w:val="00AC7DD4"/>
    <w:rsid w:val="00AD1CB5"/>
    <w:rsid w:val="00AD20BA"/>
    <w:rsid w:val="00AD4455"/>
    <w:rsid w:val="00AD6752"/>
    <w:rsid w:val="00AD7F1C"/>
    <w:rsid w:val="00AE26EF"/>
    <w:rsid w:val="00AE43F3"/>
    <w:rsid w:val="00AF32CF"/>
    <w:rsid w:val="00AF6384"/>
    <w:rsid w:val="00B02B94"/>
    <w:rsid w:val="00B11479"/>
    <w:rsid w:val="00B11FE0"/>
    <w:rsid w:val="00B21A52"/>
    <w:rsid w:val="00B35226"/>
    <w:rsid w:val="00B41FB1"/>
    <w:rsid w:val="00B47A9B"/>
    <w:rsid w:val="00B53361"/>
    <w:rsid w:val="00B60C8D"/>
    <w:rsid w:val="00B63E4B"/>
    <w:rsid w:val="00B63EC0"/>
    <w:rsid w:val="00B74AB9"/>
    <w:rsid w:val="00B824E6"/>
    <w:rsid w:val="00BA1DD7"/>
    <w:rsid w:val="00BA2134"/>
    <w:rsid w:val="00BA347C"/>
    <w:rsid w:val="00BA5C53"/>
    <w:rsid w:val="00BA6597"/>
    <w:rsid w:val="00BB25E2"/>
    <w:rsid w:val="00BB2601"/>
    <w:rsid w:val="00BC120D"/>
    <w:rsid w:val="00BD27D8"/>
    <w:rsid w:val="00BD6147"/>
    <w:rsid w:val="00BD658B"/>
    <w:rsid w:val="00BF181A"/>
    <w:rsid w:val="00BF33B4"/>
    <w:rsid w:val="00C12334"/>
    <w:rsid w:val="00C15731"/>
    <w:rsid w:val="00C207A4"/>
    <w:rsid w:val="00C222B0"/>
    <w:rsid w:val="00C25D2D"/>
    <w:rsid w:val="00C27DDE"/>
    <w:rsid w:val="00C33E82"/>
    <w:rsid w:val="00C41F26"/>
    <w:rsid w:val="00C47699"/>
    <w:rsid w:val="00C501E0"/>
    <w:rsid w:val="00C65C02"/>
    <w:rsid w:val="00C74D7B"/>
    <w:rsid w:val="00C876AC"/>
    <w:rsid w:val="00C87A6C"/>
    <w:rsid w:val="00C90437"/>
    <w:rsid w:val="00C90632"/>
    <w:rsid w:val="00C93A34"/>
    <w:rsid w:val="00CA0436"/>
    <w:rsid w:val="00CC04BB"/>
    <w:rsid w:val="00CC0893"/>
    <w:rsid w:val="00CC15ED"/>
    <w:rsid w:val="00CC5CFB"/>
    <w:rsid w:val="00CD447B"/>
    <w:rsid w:val="00CD78C4"/>
    <w:rsid w:val="00CE319A"/>
    <w:rsid w:val="00CE54DD"/>
    <w:rsid w:val="00CE6F37"/>
    <w:rsid w:val="00CF27B8"/>
    <w:rsid w:val="00D02909"/>
    <w:rsid w:val="00D03603"/>
    <w:rsid w:val="00D045B6"/>
    <w:rsid w:val="00D0477A"/>
    <w:rsid w:val="00D071F0"/>
    <w:rsid w:val="00D130C6"/>
    <w:rsid w:val="00D154B1"/>
    <w:rsid w:val="00D157A9"/>
    <w:rsid w:val="00D17383"/>
    <w:rsid w:val="00D200FB"/>
    <w:rsid w:val="00D23E79"/>
    <w:rsid w:val="00D23FC7"/>
    <w:rsid w:val="00D24354"/>
    <w:rsid w:val="00D26633"/>
    <w:rsid w:val="00D31EF8"/>
    <w:rsid w:val="00D33A19"/>
    <w:rsid w:val="00D3439F"/>
    <w:rsid w:val="00D34A94"/>
    <w:rsid w:val="00D40E9E"/>
    <w:rsid w:val="00D413A1"/>
    <w:rsid w:val="00D41CCC"/>
    <w:rsid w:val="00D56093"/>
    <w:rsid w:val="00D61C14"/>
    <w:rsid w:val="00D6323E"/>
    <w:rsid w:val="00D63879"/>
    <w:rsid w:val="00D64625"/>
    <w:rsid w:val="00D72739"/>
    <w:rsid w:val="00D732C5"/>
    <w:rsid w:val="00D75A67"/>
    <w:rsid w:val="00D84520"/>
    <w:rsid w:val="00D90CE6"/>
    <w:rsid w:val="00D96475"/>
    <w:rsid w:val="00DA2DC6"/>
    <w:rsid w:val="00DC01CF"/>
    <w:rsid w:val="00DC3BFC"/>
    <w:rsid w:val="00DD14BF"/>
    <w:rsid w:val="00DE2802"/>
    <w:rsid w:val="00DE6C7A"/>
    <w:rsid w:val="00DE791A"/>
    <w:rsid w:val="00DE7E41"/>
    <w:rsid w:val="00E03DD2"/>
    <w:rsid w:val="00E138D0"/>
    <w:rsid w:val="00E1545C"/>
    <w:rsid w:val="00E1688A"/>
    <w:rsid w:val="00E23983"/>
    <w:rsid w:val="00E244E8"/>
    <w:rsid w:val="00E3320B"/>
    <w:rsid w:val="00E3547C"/>
    <w:rsid w:val="00E379BF"/>
    <w:rsid w:val="00E45C58"/>
    <w:rsid w:val="00E60F6C"/>
    <w:rsid w:val="00E6344E"/>
    <w:rsid w:val="00E64417"/>
    <w:rsid w:val="00E65ECC"/>
    <w:rsid w:val="00E67757"/>
    <w:rsid w:val="00E70DD8"/>
    <w:rsid w:val="00E74B4D"/>
    <w:rsid w:val="00E75B5D"/>
    <w:rsid w:val="00E849C4"/>
    <w:rsid w:val="00E85E76"/>
    <w:rsid w:val="00E87A43"/>
    <w:rsid w:val="00E92215"/>
    <w:rsid w:val="00E924D4"/>
    <w:rsid w:val="00EA1923"/>
    <w:rsid w:val="00EA2286"/>
    <w:rsid w:val="00EB2D75"/>
    <w:rsid w:val="00EB3E04"/>
    <w:rsid w:val="00EB5841"/>
    <w:rsid w:val="00EB6BA7"/>
    <w:rsid w:val="00EC3E92"/>
    <w:rsid w:val="00EC4135"/>
    <w:rsid w:val="00ED2CFC"/>
    <w:rsid w:val="00ED4528"/>
    <w:rsid w:val="00ED4E28"/>
    <w:rsid w:val="00EE1C68"/>
    <w:rsid w:val="00EE20EC"/>
    <w:rsid w:val="00EF3B32"/>
    <w:rsid w:val="00F07090"/>
    <w:rsid w:val="00F13155"/>
    <w:rsid w:val="00F24686"/>
    <w:rsid w:val="00F419B3"/>
    <w:rsid w:val="00F41C91"/>
    <w:rsid w:val="00F4437A"/>
    <w:rsid w:val="00F44A86"/>
    <w:rsid w:val="00F74949"/>
    <w:rsid w:val="00F75C82"/>
    <w:rsid w:val="00F8082D"/>
    <w:rsid w:val="00F85694"/>
    <w:rsid w:val="00F8732A"/>
    <w:rsid w:val="00FA2082"/>
    <w:rsid w:val="00FB077B"/>
    <w:rsid w:val="00FB3920"/>
    <w:rsid w:val="00FB59EC"/>
    <w:rsid w:val="00FB738D"/>
    <w:rsid w:val="00FB799F"/>
    <w:rsid w:val="00FC4B2C"/>
    <w:rsid w:val="00FC767A"/>
    <w:rsid w:val="00FD019A"/>
    <w:rsid w:val="00FE76FB"/>
    <w:rsid w:val="00FF2453"/>
    <w:rsid w:val="00FF320F"/>
    <w:rsid w:val="00FF4EE8"/>
    <w:rsid w:val="00FF5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B4D"/>
    <w:pPr>
      <w:widowControl w:val="0"/>
      <w:jc w:val="both"/>
    </w:pPr>
    <w:rPr>
      <w:kern w:val="2"/>
      <w:sz w:val="21"/>
      <w:szCs w:val="24"/>
    </w:rPr>
  </w:style>
  <w:style w:type="paragraph" w:styleId="1">
    <w:name w:val="heading 1"/>
    <w:basedOn w:val="a"/>
    <w:next w:val="a"/>
    <w:link w:val="1Char"/>
    <w:qFormat/>
    <w:rsid w:val="00E74B4D"/>
    <w:pPr>
      <w:numPr>
        <w:numId w:val="1"/>
      </w:numPr>
      <w:spacing w:before="300" w:after="300" w:line="360" w:lineRule="auto"/>
      <w:outlineLvl w:val="0"/>
    </w:pPr>
    <w:rPr>
      <w:rFonts w:ascii="宋体" w:hAnsi="宋体"/>
      <w:b/>
      <w:bCs/>
      <w:color w:val="000000"/>
      <w:kern w:val="44"/>
      <w:sz w:val="30"/>
      <w:szCs w:val="21"/>
      <w:lang w:val="zh-CN"/>
    </w:rPr>
  </w:style>
  <w:style w:type="paragraph" w:styleId="2">
    <w:name w:val="heading 2"/>
    <w:basedOn w:val="a"/>
    <w:next w:val="a0"/>
    <w:link w:val="2Char"/>
    <w:qFormat/>
    <w:rsid w:val="00E74B4D"/>
    <w:pPr>
      <w:numPr>
        <w:ilvl w:val="1"/>
        <w:numId w:val="1"/>
      </w:numPr>
      <w:tabs>
        <w:tab w:val="left" w:pos="1260"/>
      </w:tabs>
      <w:spacing w:after="120" w:line="360" w:lineRule="auto"/>
      <w:outlineLvl w:val="1"/>
    </w:pPr>
    <w:rPr>
      <w:rFonts w:ascii="宋体" w:hAnsi="宋体"/>
      <w:b/>
      <w:bCs/>
      <w:color w:val="000000"/>
      <w:kern w:val="0"/>
      <w:sz w:val="24"/>
      <w:szCs w:val="21"/>
      <w:lang w:val="zh-CN"/>
    </w:rPr>
  </w:style>
  <w:style w:type="paragraph" w:styleId="3">
    <w:name w:val="heading 3"/>
    <w:basedOn w:val="a"/>
    <w:next w:val="a0"/>
    <w:link w:val="3Char"/>
    <w:qFormat/>
    <w:rsid w:val="00E74B4D"/>
    <w:pPr>
      <w:numPr>
        <w:ilvl w:val="2"/>
        <w:numId w:val="1"/>
      </w:numPr>
      <w:tabs>
        <w:tab w:val="left" w:pos="454"/>
      </w:tabs>
      <w:spacing w:after="120" w:line="360" w:lineRule="auto"/>
      <w:outlineLvl w:val="2"/>
    </w:pPr>
    <w:rPr>
      <w:rFonts w:ascii="宋体" w:hAnsi="宋体"/>
      <w:color w:val="000000"/>
      <w:kern w:val="0"/>
      <w:szCs w:val="21"/>
      <w:lang w:val="zh-CN"/>
    </w:rPr>
  </w:style>
  <w:style w:type="paragraph" w:styleId="4">
    <w:name w:val="heading 4"/>
    <w:basedOn w:val="a"/>
    <w:next w:val="a0"/>
    <w:link w:val="4Char"/>
    <w:qFormat/>
    <w:rsid w:val="00E74B4D"/>
    <w:pPr>
      <w:numPr>
        <w:ilvl w:val="3"/>
        <w:numId w:val="1"/>
      </w:numPr>
      <w:tabs>
        <w:tab w:val="left" w:pos="720"/>
      </w:tabs>
      <w:spacing w:after="120" w:line="360" w:lineRule="auto"/>
      <w:outlineLvl w:val="3"/>
    </w:pPr>
    <w:rPr>
      <w:rFonts w:ascii="宋体" w:hAnsi="宋体"/>
      <w:color w:val="000000"/>
      <w:kern w:val="0"/>
      <w:szCs w:val="21"/>
      <w:lang w:val="zh-CN"/>
    </w:rPr>
  </w:style>
  <w:style w:type="paragraph" w:styleId="5">
    <w:name w:val="heading 5"/>
    <w:basedOn w:val="a"/>
    <w:next w:val="a0"/>
    <w:link w:val="5Char"/>
    <w:qFormat/>
    <w:rsid w:val="00E74B4D"/>
    <w:pPr>
      <w:numPr>
        <w:ilvl w:val="4"/>
        <w:numId w:val="1"/>
      </w:numPr>
      <w:tabs>
        <w:tab w:val="left" w:pos="360"/>
      </w:tabs>
      <w:spacing w:after="120" w:line="360" w:lineRule="auto"/>
      <w:outlineLvl w:val="4"/>
    </w:pPr>
    <w:rPr>
      <w:rFonts w:ascii="宋体" w:hAnsi="宋体"/>
      <w:bCs/>
      <w:color w:val="000000"/>
      <w:kern w:val="0"/>
      <w:szCs w:val="21"/>
      <w:lang w:val="zh-CN"/>
    </w:rPr>
  </w:style>
  <w:style w:type="paragraph" w:styleId="6">
    <w:name w:val="heading 6"/>
    <w:basedOn w:val="a"/>
    <w:next w:val="a0"/>
    <w:link w:val="6Char"/>
    <w:qFormat/>
    <w:rsid w:val="00E74B4D"/>
    <w:pPr>
      <w:numPr>
        <w:ilvl w:val="5"/>
        <w:numId w:val="1"/>
      </w:numPr>
      <w:tabs>
        <w:tab w:val="left" w:pos="927"/>
      </w:tabs>
      <w:spacing w:after="120" w:line="360" w:lineRule="auto"/>
      <w:outlineLvl w:val="5"/>
    </w:pPr>
    <w:rPr>
      <w:rFonts w:ascii="宋体" w:hAnsi="宋体"/>
      <w:bCs/>
      <w:color w:val="000000"/>
      <w:kern w:val="0"/>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sid w:val="00E74B4D"/>
    <w:rPr>
      <w:rFonts w:ascii="宋体" w:hAnsi="宋体" w:cs="Arial"/>
      <w:color w:val="000000"/>
      <w:sz w:val="21"/>
      <w:szCs w:val="21"/>
      <w:lang w:val="zh-CN"/>
    </w:rPr>
  </w:style>
  <w:style w:type="character" w:customStyle="1" w:styleId="Char">
    <w:name w:val="页眉 Char"/>
    <w:link w:val="a4"/>
    <w:rsid w:val="00E74B4D"/>
    <w:rPr>
      <w:kern w:val="2"/>
      <w:sz w:val="18"/>
      <w:szCs w:val="18"/>
    </w:rPr>
  </w:style>
  <w:style w:type="character" w:customStyle="1" w:styleId="HTMLChar">
    <w:name w:val="HTML 预设格式 Char"/>
    <w:link w:val="HTML"/>
    <w:uiPriority w:val="99"/>
    <w:rsid w:val="00E74B4D"/>
    <w:rPr>
      <w:rFonts w:ascii="宋体" w:hAnsi="宋体" w:cs="宋体"/>
      <w:sz w:val="24"/>
      <w:szCs w:val="24"/>
    </w:rPr>
  </w:style>
  <w:style w:type="character" w:customStyle="1" w:styleId="2Char">
    <w:name w:val="标题 2 Char"/>
    <w:link w:val="2"/>
    <w:rsid w:val="00E74B4D"/>
    <w:rPr>
      <w:rFonts w:ascii="宋体" w:hAnsi="宋体" w:cs="Arial"/>
      <w:b/>
      <w:bCs/>
      <w:color w:val="000000"/>
      <w:sz w:val="24"/>
      <w:szCs w:val="21"/>
      <w:lang w:val="zh-CN"/>
    </w:rPr>
  </w:style>
  <w:style w:type="character" w:customStyle="1" w:styleId="1Char">
    <w:name w:val="标题 1 Char"/>
    <w:link w:val="1"/>
    <w:rsid w:val="00E74B4D"/>
    <w:rPr>
      <w:rFonts w:ascii="宋体" w:hAnsi="宋体" w:cs="Arial"/>
      <w:b/>
      <w:bCs/>
      <w:color w:val="000000"/>
      <w:kern w:val="44"/>
      <w:sz w:val="30"/>
      <w:szCs w:val="21"/>
      <w:lang w:val="zh-CN"/>
    </w:rPr>
  </w:style>
  <w:style w:type="character" w:customStyle="1" w:styleId="txtcontent11">
    <w:name w:val="txtcontent11"/>
    <w:rsid w:val="00E74B4D"/>
    <w:rPr>
      <w:rFonts w:ascii="ˎ̥" w:hAnsi="ˎ̥" w:hint="default"/>
      <w:b w:val="0"/>
      <w:bCs w:val="0"/>
      <w:color w:val="000000"/>
      <w:sz w:val="21"/>
      <w:szCs w:val="21"/>
    </w:rPr>
  </w:style>
  <w:style w:type="character" w:customStyle="1" w:styleId="4Char">
    <w:name w:val="标题 4 Char"/>
    <w:link w:val="4"/>
    <w:rsid w:val="00E74B4D"/>
    <w:rPr>
      <w:rFonts w:ascii="宋体" w:hAnsi="宋体" w:cs="Arial"/>
      <w:color w:val="000000"/>
      <w:sz w:val="21"/>
      <w:szCs w:val="21"/>
      <w:lang w:val="zh-CN"/>
    </w:rPr>
  </w:style>
  <w:style w:type="character" w:customStyle="1" w:styleId="6Char">
    <w:name w:val="标题 6 Char"/>
    <w:link w:val="6"/>
    <w:rsid w:val="00E74B4D"/>
    <w:rPr>
      <w:rFonts w:ascii="宋体" w:hAnsi="宋体" w:cs="Arial"/>
      <w:bCs/>
      <w:color w:val="000000"/>
      <w:sz w:val="21"/>
      <w:szCs w:val="21"/>
      <w:lang w:val="zh-CN"/>
    </w:rPr>
  </w:style>
  <w:style w:type="character" w:styleId="a5">
    <w:name w:val="Hyperlink"/>
    <w:rsid w:val="00E74B4D"/>
    <w:rPr>
      <w:color w:val="0000FF"/>
      <w:u w:val="single"/>
    </w:rPr>
  </w:style>
  <w:style w:type="character" w:customStyle="1" w:styleId="Char0">
    <w:name w:val="页脚 Char"/>
    <w:link w:val="a6"/>
    <w:uiPriority w:val="99"/>
    <w:rsid w:val="00E74B4D"/>
    <w:rPr>
      <w:kern w:val="2"/>
      <w:sz w:val="18"/>
      <w:szCs w:val="18"/>
    </w:rPr>
  </w:style>
  <w:style w:type="character" w:customStyle="1" w:styleId="5Char">
    <w:name w:val="标题 5 Char"/>
    <w:link w:val="5"/>
    <w:rsid w:val="00E74B4D"/>
    <w:rPr>
      <w:rFonts w:ascii="宋体" w:hAnsi="宋体" w:cs="Arial"/>
      <w:bCs/>
      <w:color w:val="000000"/>
      <w:sz w:val="21"/>
      <w:szCs w:val="21"/>
      <w:lang w:val="zh-CN"/>
    </w:rPr>
  </w:style>
  <w:style w:type="character" w:customStyle="1" w:styleId="font-bold1">
    <w:name w:val="font-bold1"/>
    <w:rsid w:val="00E74B4D"/>
    <w:rPr>
      <w:b/>
      <w:bCs/>
    </w:rPr>
  </w:style>
  <w:style w:type="paragraph" w:styleId="a7">
    <w:name w:val="Balloon Text"/>
    <w:basedOn w:val="a"/>
    <w:semiHidden/>
    <w:rsid w:val="00E74B4D"/>
    <w:rPr>
      <w:sz w:val="18"/>
      <w:szCs w:val="18"/>
    </w:rPr>
  </w:style>
  <w:style w:type="paragraph" w:styleId="a8">
    <w:name w:val="Date"/>
    <w:basedOn w:val="a"/>
    <w:next w:val="a"/>
    <w:rsid w:val="00E74B4D"/>
    <w:pPr>
      <w:autoSpaceDE w:val="0"/>
      <w:autoSpaceDN w:val="0"/>
      <w:adjustRightInd w:val="0"/>
      <w:jc w:val="left"/>
    </w:pPr>
    <w:rPr>
      <w:rFonts w:ascii="宋体"/>
      <w:kern w:val="0"/>
      <w:sz w:val="24"/>
    </w:rPr>
  </w:style>
  <w:style w:type="paragraph" w:styleId="a0">
    <w:name w:val="Normal Indent"/>
    <w:basedOn w:val="a"/>
    <w:rsid w:val="00E74B4D"/>
    <w:pPr>
      <w:ind w:firstLineChars="200" w:firstLine="420"/>
    </w:pPr>
  </w:style>
  <w:style w:type="paragraph" w:styleId="a6">
    <w:name w:val="footer"/>
    <w:basedOn w:val="a"/>
    <w:link w:val="Char0"/>
    <w:uiPriority w:val="99"/>
    <w:rsid w:val="00E74B4D"/>
    <w:pPr>
      <w:tabs>
        <w:tab w:val="center" w:pos="4153"/>
        <w:tab w:val="right" w:pos="8306"/>
      </w:tabs>
      <w:snapToGrid w:val="0"/>
      <w:jc w:val="left"/>
    </w:pPr>
    <w:rPr>
      <w:sz w:val="18"/>
      <w:szCs w:val="18"/>
      <w:lang/>
    </w:rPr>
  </w:style>
  <w:style w:type="paragraph" w:customStyle="1" w:styleId="Default">
    <w:name w:val="Default"/>
    <w:rsid w:val="00E74B4D"/>
    <w:pPr>
      <w:widowControl w:val="0"/>
      <w:autoSpaceDE w:val="0"/>
      <w:autoSpaceDN w:val="0"/>
      <w:adjustRightInd w:val="0"/>
    </w:pPr>
    <w:rPr>
      <w:rFonts w:ascii="黑体" w:eastAsia="黑体" w:hAnsi="Calibri" w:cs="黑体"/>
      <w:color w:val="000000"/>
      <w:sz w:val="24"/>
      <w:szCs w:val="24"/>
    </w:rPr>
  </w:style>
  <w:style w:type="paragraph" w:styleId="a4">
    <w:name w:val="header"/>
    <w:basedOn w:val="a"/>
    <w:link w:val="Char"/>
    <w:rsid w:val="00E74B4D"/>
    <w:pPr>
      <w:pBdr>
        <w:bottom w:val="single" w:sz="6" w:space="1" w:color="auto"/>
      </w:pBdr>
      <w:tabs>
        <w:tab w:val="center" w:pos="4153"/>
        <w:tab w:val="right" w:pos="8306"/>
      </w:tabs>
      <w:snapToGrid w:val="0"/>
      <w:jc w:val="center"/>
    </w:pPr>
    <w:rPr>
      <w:sz w:val="18"/>
      <w:szCs w:val="18"/>
      <w:lang/>
    </w:rPr>
  </w:style>
  <w:style w:type="paragraph" w:styleId="HTML">
    <w:name w:val="HTML Preformatted"/>
    <w:basedOn w:val="a"/>
    <w:link w:val="HTMLChar"/>
    <w:uiPriority w:val="99"/>
    <w:unhideWhenUsed/>
    <w:rsid w:val="00E74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paragraph" w:styleId="a9">
    <w:name w:val="List Paragraph"/>
    <w:basedOn w:val="a"/>
    <w:uiPriority w:val="34"/>
    <w:qFormat/>
    <w:rsid w:val="00E74B4D"/>
    <w:pPr>
      <w:widowControl/>
      <w:ind w:firstLine="420"/>
    </w:pPr>
    <w:rPr>
      <w:rFonts w:ascii="Calibri" w:hAnsi="Calibri" w:cs="宋体"/>
      <w:kern w:val="0"/>
      <w:szCs w:val="21"/>
    </w:rPr>
  </w:style>
  <w:style w:type="paragraph" w:styleId="aa">
    <w:name w:val="Normal (Web)"/>
    <w:basedOn w:val="a"/>
    <w:rsid w:val="00AB2349"/>
    <w:rPr>
      <w:sz w:val="24"/>
    </w:rPr>
  </w:style>
  <w:style w:type="paragraph" w:styleId="ab">
    <w:name w:val="annotation text"/>
    <w:basedOn w:val="a"/>
    <w:link w:val="Char1"/>
    <w:uiPriority w:val="99"/>
    <w:unhideWhenUsed/>
    <w:rsid w:val="00DC01CF"/>
    <w:pPr>
      <w:widowControl/>
      <w:jc w:val="left"/>
    </w:pPr>
    <w:rPr>
      <w:rFonts w:ascii="Calibri" w:hAnsi="Calibri" w:cs="宋体"/>
      <w:kern w:val="0"/>
      <w:szCs w:val="21"/>
    </w:rPr>
  </w:style>
  <w:style w:type="character" w:customStyle="1" w:styleId="Char1">
    <w:name w:val="批注文字 Char"/>
    <w:link w:val="ab"/>
    <w:uiPriority w:val="99"/>
    <w:rsid w:val="00DC01CF"/>
    <w:rPr>
      <w:rFonts w:ascii="Calibri" w:hAnsi="Calibri" w:cs="宋体"/>
      <w:sz w:val="21"/>
      <w:szCs w:val="21"/>
    </w:rPr>
  </w:style>
  <w:style w:type="character" w:styleId="ac">
    <w:name w:val="annotation reference"/>
    <w:uiPriority w:val="99"/>
    <w:unhideWhenUsed/>
    <w:rsid w:val="00DC01CF"/>
    <w:rPr>
      <w:sz w:val="21"/>
      <w:szCs w:val="21"/>
    </w:rPr>
  </w:style>
  <w:style w:type="paragraph" w:styleId="ad">
    <w:name w:val="annotation subject"/>
    <w:basedOn w:val="ab"/>
    <w:next w:val="ab"/>
    <w:link w:val="Char2"/>
    <w:rsid w:val="00021AD9"/>
    <w:pPr>
      <w:widowControl w:val="0"/>
    </w:pPr>
    <w:rPr>
      <w:rFonts w:ascii="Times New Roman" w:hAnsi="Times New Roman" w:cs="Times New Roman"/>
      <w:b/>
      <w:bCs/>
      <w:kern w:val="2"/>
      <w:szCs w:val="24"/>
    </w:rPr>
  </w:style>
  <w:style w:type="character" w:customStyle="1" w:styleId="Char2">
    <w:name w:val="批注主题 Char"/>
    <w:link w:val="ad"/>
    <w:rsid w:val="00021AD9"/>
    <w:rPr>
      <w:rFonts w:ascii="Calibri" w:hAnsi="Calibri" w:cs="宋体"/>
      <w:b/>
      <w:bCs/>
      <w:kern w:val="2"/>
      <w:sz w:val="21"/>
      <w:szCs w:val="24"/>
    </w:rPr>
  </w:style>
  <w:style w:type="table" w:styleId="ae">
    <w:name w:val="Table Grid"/>
    <w:basedOn w:val="a2"/>
    <w:uiPriority w:val="99"/>
    <w:semiHidden/>
    <w:unhideWhenUsed/>
    <w:rsid w:val="006E4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1515B7"/>
    <w:rPr>
      <w:kern w:val="2"/>
      <w:sz w:val="21"/>
      <w:szCs w:val="24"/>
    </w:rPr>
  </w:style>
</w:styles>
</file>

<file path=word/webSettings.xml><?xml version="1.0" encoding="utf-8"?>
<w:webSettings xmlns:r="http://schemas.openxmlformats.org/officeDocument/2006/relationships" xmlns:w="http://schemas.openxmlformats.org/wordprocessingml/2006/main">
  <w:divs>
    <w:div w:id="22291969">
      <w:bodyDiv w:val="1"/>
      <w:marLeft w:val="0"/>
      <w:marRight w:val="0"/>
      <w:marTop w:val="0"/>
      <w:marBottom w:val="0"/>
      <w:divBdr>
        <w:top w:val="none" w:sz="0" w:space="0" w:color="auto"/>
        <w:left w:val="none" w:sz="0" w:space="0" w:color="auto"/>
        <w:bottom w:val="none" w:sz="0" w:space="0" w:color="auto"/>
        <w:right w:val="none" w:sz="0" w:space="0" w:color="auto"/>
      </w:divBdr>
      <w:divsChild>
        <w:div w:id="542325918">
          <w:marLeft w:val="0"/>
          <w:marRight w:val="0"/>
          <w:marTop w:val="0"/>
          <w:marBottom w:val="0"/>
          <w:divBdr>
            <w:top w:val="none" w:sz="0" w:space="0" w:color="auto"/>
            <w:left w:val="none" w:sz="0" w:space="0" w:color="auto"/>
            <w:bottom w:val="none" w:sz="0" w:space="0" w:color="auto"/>
            <w:right w:val="none" w:sz="0" w:space="0" w:color="auto"/>
          </w:divBdr>
        </w:div>
      </w:divsChild>
    </w:div>
    <w:div w:id="56322341">
      <w:bodyDiv w:val="1"/>
      <w:marLeft w:val="0"/>
      <w:marRight w:val="0"/>
      <w:marTop w:val="0"/>
      <w:marBottom w:val="0"/>
      <w:divBdr>
        <w:top w:val="none" w:sz="0" w:space="0" w:color="auto"/>
        <w:left w:val="none" w:sz="0" w:space="0" w:color="auto"/>
        <w:bottom w:val="none" w:sz="0" w:space="0" w:color="auto"/>
        <w:right w:val="none" w:sz="0" w:space="0" w:color="auto"/>
      </w:divBdr>
    </w:div>
    <w:div w:id="76443128">
      <w:bodyDiv w:val="1"/>
      <w:marLeft w:val="0"/>
      <w:marRight w:val="0"/>
      <w:marTop w:val="0"/>
      <w:marBottom w:val="0"/>
      <w:divBdr>
        <w:top w:val="none" w:sz="0" w:space="0" w:color="auto"/>
        <w:left w:val="none" w:sz="0" w:space="0" w:color="auto"/>
        <w:bottom w:val="none" w:sz="0" w:space="0" w:color="auto"/>
        <w:right w:val="none" w:sz="0" w:space="0" w:color="auto"/>
      </w:divBdr>
    </w:div>
    <w:div w:id="80101372">
      <w:bodyDiv w:val="1"/>
      <w:marLeft w:val="0"/>
      <w:marRight w:val="0"/>
      <w:marTop w:val="0"/>
      <w:marBottom w:val="0"/>
      <w:divBdr>
        <w:top w:val="none" w:sz="0" w:space="0" w:color="auto"/>
        <w:left w:val="none" w:sz="0" w:space="0" w:color="auto"/>
        <w:bottom w:val="none" w:sz="0" w:space="0" w:color="auto"/>
        <w:right w:val="none" w:sz="0" w:space="0" w:color="auto"/>
      </w:divBdr>
    </w:div>
    <w:div w:id="136070253">
      <w:bodyDiv w:val="1"/>
      <w:marLeft w:val="0"/>
      <w:marRight w:val="0"/>
      <w:marTop w:val="0"/>
      <w:marBottom w:val="0"/>
      <w:divBdr>
        <w:top w:val="none" w:sz="0" w:space="0" w:color="auto"/>
        <w:left w:val="none" w:sz="0" w:space="0" w:color="auto"/>
        <w:bottom w:val="none" w:sz="0" w:space="0" w:color="auto"/>
        <w:right w:val="none" w:sz="0" w:space="0" w:color="auto"/>
      </w:divBdr>
    </w:div>
    <w:div w:id="140536326">
      <w:bodyDiv w:val="1"/>
      <w:marLeft w:val="0"/>
      <w:marRight w:val="0"/>
      <w:marTop w:val="0"/>
      <w:marBottom w:val="0"/>
      <w:divBdr>
        <w:top w:val="none" w:sz="0" w:space="0" w:color="auto"/>
        <w:left w:val="none" w:sz="0" w:space="0" w:color="auto"/>
        <w:bottom w:val="none" w:sz="0" w:space="0" w:color="auto"/>
        <w:right w:val="none" w:sz="0" w:space="0" w:color="auto"/>
      </w:divBdr>
    </w:div>
    <w:div w:id="181893909">
      <w:bodyDiv w:val="1"/>
      <w:marLeft w:val="0"/>
      <w:marRight w:val="0"/>
      <w:marTop w:val="0"/>
      <w:marBottom w:val="0"/>
      <w:divBdr>
        <w:top w:val="none" w:sz="0" w:space="0" w:color="auto"/>
        <w:left w:val="none" w:sz="0" w:space="0" w:color="auto"/>
        <w:bottom w:val="none" w:sz="0" w:space="0" w:color="auto"/>
        <w:right w:val="none" w:sz="0" w:space="0" w:color="auto"/>
      </w:divBdr>
    </w:div>
    <w:div w:id="192617092">
      <w:bodyDiv w:val="1"/>
      <w:marLeft w:val="0"/>
      <w:marRight w:val="0"/>
      <w:marTop w:val="0"/>
      <w:marBottom w:val="0"/>
      <w:divBdr>
        <w:top w:val="none" w:sz="0" w:space="0" w:color="auto"/>
        <w:left w:val="none" w:sz="0" w:space="0" w:color="auto"/>
        <w:bottom w:val="none" w:sz="0" w:space="0" w:color="auto"/>
        <w:right w:val="none" w:sz="0" w:space="0" w:color="auto"/>
      </w:divBdr>
    </w:div>
    <w:div w:id="209344514">
      <w:bodyDiv w:val="1"/>
      <w:marLeft w:val="0"/>
      <w:marRight w:val="0"/>
      <w:marTop w:val="0"/>
      <w:marBottom w:val="0"/>
      <w:divBdr>
        <w:top w:val="none" w:sz="0" w:space="0" w:color="auto"/>
        <w:left w:val="none" w:sz="0" w:space="0" w:color="auto"/>
        <w:bottom w:val="none" w:sz="0" w:space="0" w:color="auto"/>
        <w:right w:val="none" w:sz="0" w:space="0" w:color="auto"/>
      </w:divBdr>
    </w:div>
    <w:div w:id="215745775">
      <w:bodyDiv w:val="1"/>
      <w:marLeft w:val="0"/>
      <w:marRight w:val="0"/>
      <w:marTop w:val="0"/>
      <w:marBottom w:val="0"/>
      <w:divBdr>
        <w:top w:val="none" w:sz="0" w:space="0" w:color="auto"/>
        <w:left w:val="none" w:sz="0" w:space="0" w:color="auto"/>
        <w:bottom w:val="none" w:sz="0" w:space="0" w:color="auto"/>
        <w:right w:val="none" w:sz="0" w:space="0" w:color="auto"/>
      </w:divBdr>
    </w:div>
    <w:div w:id="264390838">
      <w:bodyDiv w:val="1"/>
      <w:marLeft w:val="0"/>
      <w:marRight w:val="0"/>
      <w:marTop w:val="0"/>
      <w:marBottom w:val="0"/>
      <w:divBdr>
        <w:top w:val="none" w:sz="0" w:space="0" w:color="auto"/>
        <w:left w:val="none" w:sz="0" w:space="0" w:color="auto"/>
        <w:bottom w:val="none" w:sz="0" w:space="0" w:color="auto"/>
        <w:right w:val="none" w:sz="0" w:space="0" w:color="auto"/>
      </w:divBdr>
    </w:div>
    <w:div w:id="273756976">
      <w:bodyDiv w:val="1"/>
      <w:marLeft w:val="0"/>
      <w:marRight w:val="0"/>
      <w:marTop w:val="0"/>
      <w:marBottom w:val="0"/>
      <w:divBdr>
        <w:top w:val="none" w:sz="0" w:space="0" w:color="auto"/>
        <w:left w:val="none" w:sz="0" w:space="0" w:color="auto"/>
        <w:bottom w:val="none" w:sz="0" w:space="0" w:color="auto"/>
        <w:right w:val="none" w:sz="0" w:space="0" w:color="auto"/>
      </w:divBdr>
    </w:div>
    <w:div w:id="312372913">
      <w:bodyDiv w:val="1"/>
      <w:marLeft w:val="0"/>
      <w:marRight w:val="0"/>
      <w:marTop w:val="0"/>
      <w:marBottom w:val="0"/>
      <w:divBdr>
        <w:top w:val="none" w:sz="0" w:space="0" w:color="auto"/>
        <w:left w:val="none" w:sz="0" w:space="0" w:color="auto"/>
        <w:bottom w:val="none" w:sz="0" w:space="0" w:color="auto"/>
        <w:right w:val="none" w:sz="0" w:space="0" w:color="auto"/>
      </w:divBdr>
    </w:div>
    <w:div w:id="323289963">
      <w:bodyDiv w:val="1"/>
      <w:marLeft w:val="0"/>
      <w:marRight w:val="0"/>
      <w:marTop w:val="0"/>
      <w:marBottom w:val="0"/>
      <w:divBdr>
        <w:top w:val="none" w:sz="0" w:space="0" w:color="auto"/>
        <w:left w:val="none" w:sz="0" w:space="0" w:color="auto"/>
        <w:bottom w:val="none" w:sz="0" w:space="0" w:color="auto"/>
        <w:right w:val="none" w:sz="0" w:space="0" w:color="auto"/>
      </w:divBdr>
    </w:div>
    <w:div w:id="340205084">
      <w:bodyDiv w:val="1"/>
      <w:marLeft w:val="0"/>
      <w:marRight w:val="0"/>
      <w:marTop w:val="0"/>
      <w:marBottom w:val="0"/>
      <w:divBdr>
        <w:top w:val="none" w:sz="0" w:space="0" w:color="auto"/>
        <w:left w:val="none" w:sz="0" w:space="0" w:color="auto"/>
        <w:bottom w:val="none" w:sz="0" w:space="0" w:color="auto"/>
        <w:right w:val="none" w:sz="0" w:space="0" w:color="auto"/>
      </w:divBdr>
    </w:div>
    <w:div w:id="377365841">
      <w:bodyDiv w:val="1"/>
      <w:marLeft w:val="0"/>
      <w:marRight w:val="0"/>
      <w:marTop w:val="0"/>
      <w:marBottom w:val="0"/>
      <w:divBdr>
        <w:top w:val="none" w:sz="0" w:space="0" w:color="auto"/>
        <w:left w:val="none" w:sz="0" w:space="0" w:color="auto"/>
        <w:bottom w:val="none" w:sz="0" w:space="0" w:color="auto"/>
        <w:right w:val="none" w:sz="0" w:space="0" w:color="auto"/>
      </w:divBdr>
    </w:div>
    <w:div w:id="435053209">
      <w:bodyDiv w:val="1"/>
      <w:marLeft w:val="0"/>
      <w:marRight w:val="0"/>
      <w:marTop w:val="0"/>
      <w:marBottom w:val="0"/>
      <w:divBdr>
        <w:top w:val="none" w:sz="0" w:space="0" w:color="auto"/>
        <w:left w:val="none" w:sz="0" w:space="0" w:color="auto"/>
        <w:bottom w:val="none" w:sz="0" w:space="0" w:color="auto"/>
        <w:right w:val="none" w:sz="0" w:space="0" w:color="auto"/>
      </w:divBdr>
    </w:div>
    <w:div w:id="439882399">
      <w:bodyDiv w:val="1"/>
      <w:marLeft w:val="0"/>
      <w:marRight w:val="0"/>
      <w:marTop w:val="0"/>
      <w:marBottom w:val="0"/>
      <w:divBdr>
        <w:top w:val="none" w:sz="0" w:space="0" w:color="auto"/>
        <w:left w:val="none" w:sz="0" w:space="0" w:color="auto"/>
        <w:bottom w:val="none" w:sz="0" w:space="0" w:color="auto"/>
        <w:right w:val="none" w:sz="0" w:space="0" w:color="auto"/>
      </w:divBdr>
    </w:div>
    <w:div w:id="452334012">
      <w:bodyDiv w:val="1"/>
      <w:marLeft w:val="0"/>
      <w:marRight w:val="0"/>
      <w:marTop w:val="0"/>
      <w:marBottom w:val="0"/>
      <w:divBdr>
        <w:top w:val="none" w:sz="0" w:space="0" w:color="auto"/>
        <w:left w:val="none" w:sz="0" w:space="0" w:color="auto"/>
        <w:bottom w:val="none" w:sz="0" w:space="0" w:color="auto"/>
        <w:right w:val="none" w:sz="0" w:space="0" w:color="auto"/>
      </w:divBdr>
    </w:div>
    <w:div w:id="506872264">
      <w:bodyDiv w:val="1"/>
      <w:marLeft w:val="0"/>
      <w:marRight w:val="0"/>
      <w:marTop w:val="0"/>
      <w:marBottom w:val="0"/>
      <w:divBdr>
        <w:top w:val="none" w:sz="0" w:space="0" w:color="auto"/>
        <w:left w:val="none" w:sz="0" w:space="0" w:color="auto"/>
        <w:bottom w:val="none" w:sz="0" w:space="0" w:color="auto"/>
        <w:right w:val="none" w:sz="0" w:space="0" w:color="auto"/>
      </w:divBdr>
    </w:div>
    <w:div w:id="569508388">
      <w:bodyDiv w:val="1"/>
      <w:marLeft w:val="0"/>
      <w:marRight w:val="0"/>
      <w:marTop w:val="0"/>
      <w:marBottom w:val="0"/>
      <w:divBdr>
        <w:top w:val="none" w:sz="0" w:space="0" w:color="auto"/>
        <w:left w:val="none" w:sz="0" w:space="0" w:color="auto"/>
        <w:bottom w:val="none" w:sz="0" w:space="0" w:color="auto"/>
        <w:right w:val="none" w:sz="0" w:space="0" w:color="auto"/>
      </w:divBdr>
    </w:div>
    <w:div w:id="657342585">
      <w:bodyDiv w:val="1"/>
      <w:marLeft w:val="0"/>
      <w:marRight w:val="0"/>
      <w:marTop w:val="0"/>
      <w:marBottom w:val="0"/>
      <w:divBdr>
        <w:top w:val="none" w:sz="0" w:space="0" w:color="auto"/>
        <w:left w:val="none" w:sz="0" w:space="0" w:color="auto"/>
        <w:bottom w:val="none" w:sz="0" w:space="0" w:color="auto"/>
        <w:right w:val="none" w:sz="0" w:space="0" w:color="auto"/>
      </w:divBdr>
    </w:div>
    <w:div w:id="677077830">
      <w:bodyDiv w:val="1"/>
      <w:marLeft w:val="0"/>
      <w:marRight w:val="0"/>
      <w:marTop w:val="0"/>
      <w:marBottom w:val="0"/>
      <w:divBdr>
        <w:top w:val="none" w:sz="0" w:space="0" w:color="auto"/>
        <w:left w:val="none" w:sz="0" w:space="0" w:color="auto"/>
        <w:bottom w:val="none" w:sz="0" w:space="0" w:color="auto"/>
        <w:right w:val="none" w:sz="0" w:space="0" w:color="auto"/>
      </w:divBdr>
    </w:div>
    <w:div w:id="683241658">
      <w:bodyDiv w:val="1"/>
      <w:marLeft w:val="0"/>
      <w:marRight w:val="0"/>
      <w:marTop w:val="0"/>
      <w:marBottom w:val="0"/>
      <w:divBdr>
        <w:top w:val="none" w:sz="0" w:space="0" w:color="auto"/>
        <w:left w:val="none" w:sz="0" w:space="0" w:color="auto"/>
        <w:bottom w:val="none" w:sz="0" w:space="0" w:color="auto"/>
        <w:right w:val="none" w:sz="0" w:space="0" w:color="auto"/>
      </w:divBdr>
    </w:div>
    <w:div w:id="746926886">
      <w:bodyDiv w:val="1"/>
      <w:marLeft w:val="0"/>
      <w:marRight w:val="0"/>
      <w:marTop w:val="0"/>
      <w:marBottom w:val="0"/>
      <w:divBdr>
        <w:top w:val="none" w:sz="0" w:space="0" w:color="auto"/>
        <w:left w:val="none" w:sz="0" w:space="0" w:color="auto"/>
        <w:bottom w:val="none" w:sz="0" w:space="0" w:color="auto"/>
        <w:right w:val="none" w:sz="0" w:space="0" w:color="auto"/>
      </w:divBdr>
    </w:div>
    <w:div w:id="791362779">
      <w:bodyDiv w:val="1"/>
      <w:marLeft w:val="0"/>
      <w:marRight w:val="0"/>
      <w:marTop w:val="0"/>
      <w:marBottom w:val="0"/>
      <w:divBdr>
        <w:top w:val="none" w:sz="0" w:space="0" w:color="auto"/>
        <w:left w:val="none" w:sz="0" w:space="0" w:color="auto"/>
        <w:bottom w:val="none" w:sz="0" w:space="0" w:color="auto"/>
        <w:right w:val="none" w:sz="0" w:space="0" w:color="auto"/>
      </w:divBdr>
    </w:div>
    <w:div w:id="802239006">
      <w:bodyDiv w:val="1"/>
      <w:marLeft w:val="0"/>
      <w:marRight w:val="0"/>
      <w:marTop w:val="0"/>
      <w:marBottom w:val="0"/>
      <w:divBdr>
        <w:top w:val="none" w:sz="0" w:space="0" w:color="auto"/>
        <w:left w:val="none" w:sz="0" w:space="0" w:color="auto"/>
        <w:bottom w:val="none" w:sz="0" w:space="0" w:color="auto"/>
        <w:right w:val="none" w:sz="0" w:space="0" w:color="auto"/>
      </w:divBdr>
    </w:div>
    <w:div w:id="815997944">
      <w:bodyDiv w:val="1"/>
      <w:marLeft w:val="0"/>
      <w:marRight w:val="0"/>
      <w:marTop w:val="0"/>
      <w:marBottom w:val="0"/>
      <w:divBdr>
        <w:top w:val="none" w:sz="0" w:space="0" w:color="auto"/>
        <w:left w:val="none" w:sz="0" w:space="0" w:color="auto"/>
        <w:bottom w:val="none" w:sz="0" w:space="0" w:color="auto"/>
        <w:right w:val="none" w:sz="0" w:space="0" w:color="auto"/>
      </w:divBdr>
    </w:div>
    <w:div w:id="831291201">
      <w:bodyDiv w:val="1"/>
      <w:marLeft w:val="0"/>
      <w:marRight w:val="0"/>
      <w:marTop w:val="0"/>
      <w:marBottom w:val="0"/>
      <w:divBdr>
        <w:top w:val="none" w:sz="0" w:space="0" w:color="auto"/>
        <w:left w:val="none" w:sz="0" w:space="0" w:color="auto"/>
        <w:bottom w:val="none" w:sz="0" w:space="0" w:color="auto"/>
        <w:right w:val="none" w:sz="0" w:space="0" w:color="auto"/>
      </w:divBdr>
    </w:div>
    <w:div w:id="842623728">
      <w:bodyDiv w:val="1"/>
      <w:marLeft w:val="0"/>
      <w:marRight w:val="0"/>
      <w:marTop w:val="0"/>
      <w:marBottom w:val="0"/>
      <w:divBdr>
        <w:top w:val="none" w:sz="0" w:space="0" w:color="auto"/>
        <w:left w:val="none" w:sz="0" w:space="0" w:color="auto"/>
        <w:bottom w:val="none" w:sz="0" w:space="0" w:color="auto"/>
        <w:right w:val="none" w:sz="0" w:space="0" w:color="auto"/>
      </w:divBdr>
    </w:div>
    <w:div w:id="860168748">
      <w:bodyDiv w:val="1"/>
      <w:marLeft w:val="0"/>
      <w:marRight w:val="0"/>
      <w:marTop w:val="0"/>
      <w:marBottom w:val="0"/>
      <w:divBdr>
        <w:top w:val="none" w:sz="0" w:space="0" w:color="auto"/>
        <w:left w:val="none" w:sz="0" w:space="0" w:color="auto"/>
        <w:bottom w:val="none" w:sz="0" w:space="0" w:color="auto"/>
        <w:right w:val="none" w:sz="0" w:space="0" w:color="auto"/>
      </w:divBdr>
    </w:div>
    <w:div w:id="861213022">
      <w:bodyDiv w:val="1"/>
      <w:marLeft w:val="0"/>
      <w:marRight w:val="0"/>
      <w:marTop w:val="0"/>
      <w:marBottom w:val="0"/>
      <w:divBdr>
        <w:top w:val="none" w:sz="0" w:space="0" w:color="auto"/>
        <w:left w:val="none" w:sz="0" w:space="0" w:color="auto"/>
        <w:bottom w:val="none" w:sz="0" w:space="0" w:color="auto"/>
        <w:right w:val="none" w:sz="0" w:space="0" w:color="auto"/>
      </w:divBdr>
    </w:div>
    <w:div w:id="915282812">
      <w:bodyDiv w:val="1"/>
      <w:marLeft w:val="0"/>
      <w:marRight w:val="0"/>
      <w:marTop w:val="0"/>
      <w:marBottom w:val="0"/>
      <w:divBdr>
        <w:top w:val="none" w:sz="0" w:space="0" w:color="auto"/>
        <w:left w:val="none" w:sz="0" w:space="0" w:color="auto"/>
        <w:bottom w:val="none" w:sz="0" w:space="0" w:color="auto"/>
        <w:right w:val="none" w:sz="0" w:space="0" w:color="auto"/>
      </w:divBdr>
    </w:div>
    <w:div w:id="939294348">
      <w:bodyDiv w:val="1"/>
      <w:marLeft w:val="0"/>
      <w:marRight w:val="0"/>
      <w:marTop w:val="0"/>
      <w:marBottom w:val="0"/>
      <w:divBdr>
        <w:top w:val="none" w:sz="0" w:space="0" w:color="auto"/>
        <w:left w:val="none" w:sz="0" w:space="0" w:color="auto"/>
        <w:bottom w:val="none" w:sz="0" w:space="0" w:color="auto"/>
        <w:right w:val="none" w:sz="0" w:space="0" w:color="auto"/>
      </w:divBdr>
    </w:div>
    <w:div w:id="1019818570">
      <w:bodyDiv w:val="1"/>
      <w:marLeft w:val="0"/>
      <w:marRight w:val="0"/>
      <w:marTop w:val="0"/>
      <w:marBottom w:val="0"/>
      <w:divBdr>
        <w:top w:val="none" w:sz="0" w:space="0" w:color="auto"/>
        <w:left w:val="none" w:sz="0" w:space="0" w:color="auto"/>
        <w:bottom w:val="none" w:sz="0" w:space="0" w:color="auto"/>
        <w:right w:val="none" w:sz="0" w:space="0" w:color="auto"/>
      </w:divBdr>
    </w:div>
    <w:div w:id="1022390868">
      <w:bodyDiv w:val="1"/>
      <w:marLeft w:val="0"/>
      <w:marRight w:val="0"/>
      <w:marTop w:val="0"/>
      <w:marBottom w:val="0"/>
      <w:divBdr>
        <w:top w:val="none" w:sz="0" w:space="0" w:color="auto"/>
        <w:left w:val="none" w:sz="0" w:space="0" w:color="auto"/>
        <w:bottom w:val="none" w:sz="0" w:space="0" w:color="auto"/>
        <w:right w:val="none" w:sz="0" w:space="0" w:color="auto"/>
      </w:divBdr>
    </w:div>
    <w:div w:id="1044983194">
      <w:bodyDiv w:val="1"/>
      <w:marLeft w:val="0"/>
      <w:marRight w:val="0"/>
      <w:marTop w:val="0"/>
      <w:marBottom w:val="0"/>
      <w:divBdr>
        <w:top w:val="none" w:sz="0" w:space="0" w:color="auto"/>
        <w:left w:val="none" w:sz="0" w:space="0" w:color="auto"/>
        <w:bottom w:val="none" w:sz="0" w:space="0" w:color="auto"/>
        <w:right w:val="none" w:sz="0" w:space="0" w:color="auto"/>
      </w:divBdr>
    </w:div>
    <w:div w:id="1055468136">
      <w:bodyDiv w:val="1"/>
      <w:marLeft w:val="0"/>
      <w:marRight w:val="0"/>
      <w:marTop w:val="0"/>
      <w:marBottom w:val="0"/>
      <w:divBdr>
        <w:top w:val="none" w:sz="0" w:space="0" w:color="auto"/>
        <w:left w:val="none" w:sz="0" w:space="0" w:color="auto"/>
        <w:bottom w:val="none" w:sz="0" w:space="0" w:color="auto"/>
        <w:right w:val="none" w:sz="0" w:space="0" w:color="auto"/>
      </w:divBdr>
    </w:div>
    <w:div w:id="1098988058">
      <w:bodyDiv w:val="1"/>
      <w:marLeft w:val="0"/>
      <w:marRight w:val="0"/>
      <w:marTop w:val="0"/>
      <w:marBottom w:val="0"/>
      <w:divBdr>
        <w:top w:val="none" w:sz="0" w:space="0" w:color="auto"/>
        <w:left w:val="none" w:sz="0" w:space="0" w:color="auto"/>
        <w:bottom w:val="none" w:sz="0" w:space="0" w:color="auto"/>
        <w:right w:val="none" w:sz="0" w:space="0" w:color="auto"/>
      </w:divBdr>
    </w:div>
    <w:div w:id="1102068626">
      <w:bodyDiv w:val="1"/>
      <w:marLeft w:val="0"/>
      <w:marRight w:val="0"/>
      <w:marTop w:val="0"/>
      <w:marBottom w:val="0"/>
      <w:divBdr>
        <w:top w:val="none" w:sz="0" w:space="0" w:color="auto"/>
        <w:left w:val="none" w:sz="0" w:space="0" w:color="auto"/>
        <w:bottom w:val="none" w:sz="0" w:space="0" w:color="auto"/>
        <w:right w:val="none" w:sz="0" w:space="0" w:color="auto"/>
      </w:divBdr>
    </w:div>
    <w:div w:id="1103379444">
      <w:bodyDiv w:val="1"/>
      <w:marLeft w:val="0"/>
      <w:marRight w:val="0"/>
      <w:marTop w:val="0"/>
      <w:marBottom w:val="0"/>
      <w:divBdr>
        <w:top w:val="none" w:sz="0" w:space="0" w:color="auto"/>
        <w:left w:val="none" w:sz="0" w:space="0" w:color="auto"/>
        <w:bottom w:val="none" w:sz="0" w:space="0" w:color="auto"/>
        <w:right w:val="none" w:sz="0" w:space="0" w:color="auto"/>
      </w:divBdr>
    </w:div>
    <w:div w:id="1132090313">
      <w:bodyDiv w:val="1"/>
      <w:marLeft w:val="0"/>
      <w:marRight w:val="0"/>
      <w:marTop w:val="0"/>
      <w:marBottom w:val="0"/>
      <w:divBdr>
        <w:top w:val="none" w:sz="0" w:space="0" w:color="auto"/>
        <w:left w:val="none" w:sz="0" w:space="0" w:color="auto"/>
        <w:bottom w:val="none" w:sz="0" w:space="0" w:color="auto"/>
        <w:right w:val="none" w:sz="0" w:space="0" w:color="auto"/>
      </w:divBdr>
    </w:div>
    <w:div w:id="1226142170">
      <w:bodyDiv w:val="1"/>
      <w:marLeft w:val="0"/>
      <w:marRight w:val="0"/>
      <w:marTop w:val="0"/>
      <w:marBottom w:val="0"/>
      <w:divBdr>
        <w:top w:val="none" w:sz="0" w:space="0" w:color="auto"/>
        <w:left w:val="none" w:sz="0" w:space="0" w:color="auto"/>
        <w:bottom w:val="none" w:sz="0" w:space="0" w:color="auto"/>
        <w:right w:val="none" w:sz="0" w:space="0" w:color="auto"/>
      </w:divBdr>
    </w:div>
    <w:div w:id="1235554452">
      <w:bodyDiv w:val="1"/>
      <w:marLeft w:val="0"/>
      <w:marRight w:val="0"/>
      <w:marTop w:val="0"/>
      <w:marBottom w:val="0"/>
      <w:divBdr>
        <w:top w:val="none" w:sz="0" w:space="0" w:color="auto"/>
        <w:left w:val="none" w:sz="0" w:space="0" w:color="auto"/>
        <w:bottom w:val="none" w:sz="0" w:space="0" w:color="auto"/>
        <w:right w:val="none" w:sz="0" w:space="0" w:color="auto"/>
      </w:divBdr>
    </w:div>
    <w:div w:id="1241134189">
      <w:bodyDiv w:val="1"/>
      <w:marLeft w:val="0"/>
      <w:marRight w:val="0"/>
      <w:marTop w:val="0"/>
      <w:marBottom w:val="0"/>
      <w:divBdr>
        <w:top w:val="none" w:sz="0" w:space="0" w:color="auto"/>
        <w:left w:val="none" w:sz="0" w:space="0" w:color="auto"/>
        <w:bottom w:val="none" w:sz="0" w:space="0" w:color="auto"/>
        <w:right w:val="none" w:sz="0" w:space="0" w:color="auto"/>
      </w:divBdr>
    </w:div>
    <w:div w:id="1279533481">
      <w:bodyDiv w:val="1"/>
      <w:marLeft w:val="0"/>
      <w:marRight w:val="0"/>
      <w:marTop w:val="0"/>
      <w:marBottom w:val="0"/>
      <w:divBdr>
        <w:top w:val="none" w:sz="0" w:space="0" w:color="auto"/>
        <w:left w:val="none" w:sz="0" w:space="0" w:color="auto"/>
        <w:bottom w:val="none" w:sz="0" w:space="0" w:color="auto"/>
        <w:right w:val="none" w:sz="0" w:space="0" w:color="auto"/>
      </w:divBdr>
      <w:divsChild>
        <w:div w:id="478035944">
          <w:marLeft w:val="0"/>
          <w:marRight w:val="0"/>
          <w:marTop w:val="0"/>
          <w:marBottom w:val="0"/>
          <w:divBdr>
            <w:top w:val="none" w:sz="0" w:space="0" w:color="auto"/>
            <w:left w:val="none" w:sz="0" w:space="0" w:color="auto"/>
            <w:bottom w:val="none" w:sz="0" w:space="0" w:color="auto"/>
            <w:right w:val="none" w:sz="0" w:space="0" w:color="auto"/>
          </w:divBdr>
        </w:div>
      </w:divsChild>
    </w:div>
    <w:div w:id="1355493963">
      <w:bodyDiv w:val="1"/>
      <w:marLeft w:val="0"/>
      <w:marRight w:val="0"/>
      <w:marTop w:val="0"/>
      <w:marBottom w:val="0"/>
      <w:divBdr>
        <w:top w:val="none" w:sz="0" w:space="0" w:color="auto"/>
        <w:left w:val="none" w:sz="0" w:space="0" w:color="auto"/>
        <w:bottom w:val="none" w:sz="0" w:space="0" w:color="auto"/>
        <w:right w:val="none" w:sz="0" w:space="0" w:color="auto"/>
      </w:divBdr>
    </w:div>
    <w:div w:id="1361318937">
      <w:bodyDiv w:val="1"/>
      <w:marLeft w:val="0"/>
      <w:marRight w:val="0"/>
      <w:marTop w:val="0"/>
      <w:marBottom w:val="0"/>
      <w:divBdr>
        <w:top w:val="none" w:sz="0" w:space="0" w:color="auto"/>
        <w:left w:val="none" w:sz="0" w:space="0" w:color="auto"/>
        <w:bottom w:val="none" w:sz="0" w:space="0" w:color="auto"/>
        <w:right w:val="none" w:sz="0" w:space="0" w:color="auto"/>
      </w:divBdr>
    </w:div>
    <w:div w:id="1382825018">
      <w:bodyDiv w:val="1"/>
      <w:marLeft w:val="0"/>
      <w:marRight w:val="0"/>
      <w:marTop w:val="0"/>
      <w:marBottom w:val="0"/>
      <w:divBdr>
        <w:top w:val="none" w:sz="0" w:space="0" w:color="auto"/>
        <w:left w:val="none" w:sz="0" w:space="0" w:color="auto"/>
        <w:bottom w:val="none" w:sz="0" w:space="0" w:color="auto"/>
        <w:right w:val="none" w:sz="0" w:space="0" w:color="auto"/>
      </w:divBdr>
    </w:div>
    <w:div w:id="1407923519">
      <w:bodyDiv w:val="1"/>
      <w:marLeft w:val="0"/>
      <w:marRight w:val="0"/>
      <w:marTop w:val="0"/>
      <w:marBottom w:val="0"/>
      <w:divBdr>
        <w:top w:val="none" w:sz="0" w:space="0" w:color="auto"/>
        <w:left w:val="none" w:sz="0" w:space="0" w:color="auto"/>
        <w:bottom w:val="none" w:sz="0" w:space="0" w:color="auto"/>
        <w:right w:val="none" w:sz="0" w:space="0" w:color="auto"/>
      </w:divBdr>
      <w:divsChild>
        <w:div w:id="1755933005">
          <w:marLeft w:val="0"/>
          <w:marRight w:val="0"/>
          <w:marTop w:val="0"/>
          <w:marBottom w:val="0"/>
          <w:divBdr>
            <w:top w:val="none" w:sz="0" w:space="0" w:color="auto"/>
            <w:left w:val="none" w:sz="0" w:space="0" w:color="auto"/>
            <w:bottom w:val="none" w:sz="0" w:space="0" w:color="auto"/>
            <w:right w:val="none" w:sz="0" w:space="0" w:color="auto"/>
          </w:divBdr>
          <w:divsChild>
            <w:div w:id="548684374">
              <w:marLeft w:val="0"/>
              <w:marRight w:val="0"/>
              <w:marTop w:val="0"/>
              <w:marBottom w:val="0"/>
              <w:divBdr>
                <w:top w:val="none" w:sz="0" w:space="0" w:color="auto"/>
                <w:left w:val="none" w:sz="0" w:space="0" w:color="auto"/>
                <w:bottom w:val="none" w:sz="0" w:space="0" w:color="auto"/>
                <w:right w:val="none" w:sz="0" w:space="0" w:color="auto"/>
              </w:divBdr>
              <w:divsChild>
                <w:div w:id="1718772190">
                  <w:marLeft w:val="0"/>
                  <w:marRight w:val="0"/>
                  <w:marTop w:val="120"/>
                  <w:marBottom w:val="0"/>
                  <w:divBdr>
                    <w:top w:val="single" w:sz="6" w:space="0" w:color="AFC4D5"/>
                    <w:left w:val="single" w:sz="6" w:space="0" w:color="AFC4D5"/>
                    <w:bottom w:val="single" w:sz="6" w:space="0" w:color="AFC4D5"/>
                    <w:right w:val="single" w:sz="6" w:space="0" w:color="AFC4D5"/>
                  </w:divBdr>
                  <w:divsChild>
                    <w:div w:id="3947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96645">
      <w:bodyDiv w:val="1"/>
      <w:marLeft w:val="0"/>
      <w:marRight w:val="0"/>
      <w:marTop w:val="0"/>
      <w:marBottom w:val="0"/>
      <w:divBdr>
        <w:top w:val="none" w:sz="0" w:space="0" w:color="auto"/>
        <w:left w:val="none" w:sz="0" w:space="0" w:color="auto"/>
        <w:bottom w:val="none" w:sz="0" w:space="0" w:color="auto"/>
        <w:right w:val="none" w:sz="0" w:space="0" w:color="auto"/>
      </w:divBdr>
    </w:div>
    <w:div w:id="1489203118">
      <w:bodyDiv w:val="1"/>
      <w:marLeft w:val="0"/>
      <w:marRight w:val="0"/>
      <w:marTop w:val="0"/>
      <w:marBottom w:val="0"/>
      <w:divBdr>
        <w:top w:val="none" w:sz="0" w:space="0" w:color="auto"/>
        <w:left w:val="none" w:sz="0" w:space="0" w:color="auto"/>
        <w:bottom w:val="none" w:sz="0" w:space="0" w:color="auto"/>
        <w:right w:val="none" w:sz="0" w:space="0" w:color="auto"/>
      </w:divBdr>
    </w:div>
    <w:div w:id="1497182831">
      <w:bodyDiv w:val="1"/>
      <w:marLeft w:val="0"/>
      <w:marRight w:val="0"/>
      <w:marTop w:val="0"/>
      <w:marBottom w:val="0"/>
      <w:divBdr>
        <w:top w:val="none" w:sz="0" w:space="0" w:color="auto"/>
        <w:left w:val="none" w:sz="0" w:space="0" w:color="auto"/>
        <w:bottom w:val="none" w:sz="0" w:space="0" w:color="auto"/>
        <w:right w:val="none" w:sz="0" w:space="0" w:color="auto"/>
      </w:divBdr>
    </w:div>
    <w:div w:id="1567839683">
      <w:bodyDiv w:val="1"/>
      <w:marLeft w:val="0"/>
      <w:marRight w:val="0"/>
      <w:marTop w:val="0"/>
      <w:marBottom w:val="0"/>
      <w:divBdr>
        <w:top w:val="none" w:sz="0" w:space="0" w:color="auto"/>
        <w:left w:val="none" w:sz="0" w:space="0" w:color="auto"/>
        <w:bottom w:val="none" w:sz="0" w:space="0" w:color="auto"/>
        <w:right w:val="none" w:sz="0" w:space="0" w:color="auto"/>
      </w:divBdr>
    </w:div>
    <w:div w:id="1569462880">
      <w:bodyDiv w:val="1"/>
      <w:marLeft w:val="0"/>
      <w:marRight w:val="0"/>
      <w:marTop w:val="0"/>
      <w:marBottom w:val="0"/>
      <w:divBdr>
        <w:top w:val="none" w:sz="0" w:space="0" w:color="auto"/>
        <w:left w:val="none" w:sz="0" w:space="0" w:color="auto"/>
        <w:bottom w:val="none" w:sz="0" w:space="0" w:color="auto"/>
        <w:right w:val="none" w:sz="0" w:space="0" w:color="auto"/>
      </w:divBdr>
    </w:div>
    <w:div w:id="1606963793">
      <w:bodyDiv w:val="1"/>
      <w:marLeft w:val="0"/>
      <w:marRight w:val="0"/>
      <w:marTop w:val="0"/>
      <w:marBottom w:val="0"/>
      <w:divBdr>
        <w:top w:val="none" w:sz="0" w:space="0" w:color="auto"/>
        <w:left w:val="none" w:sz="0" w:space="0" w:color="auto"/>
        <w:bottom w:val="none" w:sz="0" w:space="0" w:color="auto"/>
        <w:right w:val="none" w:sz="0" w:space="0" w:color="auto"/>
      </w:divBdr>
    </w:div>
    <w:div w:id="1655142679">
      <w:bodyDiv w:val="1"/>
      <w:marLeft w:val="0"/>
      <w:marRight w:val="0"/>
      <w:marTop w:val="0"/>
      <w:marBottom w:val="0"/>
      <w:divBdr>
        <w:top w:val="none" w:sz="0" w:space="0" w:color="auto"/>
        <w:left w:val="none" w:sz="0" w:space="0" w:color="auto"/>
        <w:bottom w:val="none" w:sz="0" w:space="0" w:color="auto"/>
        <w:right w:val="none" w:sz="0" w:space="0" w:color="auto"/>
      </w:divBdr>
    </w:div>
    <w:div w:id="1689284804">
      <w:bodyDiv w:val="1"/>
      <w:marLeft w:val="0"/>
      <w:marRight w:val="0"/>
      <w:marTop w:val="0"/>
      <w:marBottom w:val="0"/>
      <w:divBdr>
        <w:top w:val="none" w:sz="0" w:space="0" w:color="auto"/>
        <w:left w:val="none" w:sz="0" w:space="0" w:color="auto"/>
        <w:bottom w:val="none" w:sz="0" w:space="0" w:color="auto"/>
        <w:right w:val="none" w:sz="0" w:space="0" w:color="auto"/>
      </w:divBdr>
    </w:div>
    <w:div w:id="1697344699">
      <w:bodyDiv w:val="1"/>
      <w:marLeft w:val="0"/>
      <w:marRight w:val="0"/>
      <w:marTop w:val="0"/>
      <w:marBottom w:val="0"/>
      <w:divBdr>
        <w:top w:val="none" w:sz="0" w:space="0" w:color="auto"/>
        <w:left w:val="none" w:sz="0" w:space="0" w:color="auto"/>
        <w:bottom w:val="none" w:sz="0" w:space="0" w:color="auto"/>
        <w:right w:val="none" w:sz="0" w:space="0" w:color="auto"/>
      </w:divBdr>
    </w:div>
    <w:div w:id="1720006687">
      <w:bodyDiv w:val="1"/>
      <w:marLeft w:val="0"/>
      <w:marRight w:val="0"/>
      <w:marTop w:val="0"/>
      <w:marBottom w:val="0"/>
      <w:divBdr>
        <w:top w:val="none" w:sz="0" w:space="0" w:color="auto"/>
        <w:left w:val="none" w:sz="0" w:space="0" w:color="auto"/>
        <w:bottom w:val="none" w:sz="0" w:space="0" w:color="auto"/>
        <w:right w:val="none" w:sz="0" w:space="0" w:color="auto"/>
      </w:divBdr>
      <w:divsChild>
        <w:div w:id="1795522124">
          <w:marLeft w:val="0"/>
          <w:marRight w:val="0"/>
          <w:marTop w:val="0"/>
          <w:marBottom w:val="0"/>
          <w:divBdr>
            <w:top w:val="none" w:sz="0" w:space="0" w:color="auto"/>
            <w:left w:val="none" w:sz="0" w:space="0" w:color="auto"/>
            <w:bottom w:val="none" w:sz="0" w:space="0" w:color="auto"/>
            <w:right w:val="none" w:sz="0" w:space="0" w:color="auto"/>
          </w:divBdr>
          <w:divsChild>
            <w:div w:id="463936677">
              <w:marLeft w:val="0"/>
              <w:marRight w:val="0"/>
              <w:marTop w:val="0"/>
              <w:marBottom w:val="0"/>
              <w:divBdr>
                <w:top w:val="none" w:sz="0" w:space="0" w:color="auto"/>
                <w:left w:val="none" w:sz="0" w:space="0" w:color="auto"/>
                <w:bottom w:val="none" w:sz="0" w:space="0" w:color="auto"/>
                <w:right w:val="none" w:sz="0" w:space="0" w:color="auto"/>
              </w:divBdr>
              <w:divsChild>
                <w:div w:id="517280263">
                  <w:marLeft w:val="0"/>
                  <w:marRight w:val="0"/>
                  <w:marTop w:val="300"/>
                  <w:marBottom w:val="0"/>
                  <w:divBdr>
                    <w:top w:val="single" w:sz="6" w:space="0" w:color="D0D0D0"/>
                    <w:left w:val="none" w:sz="0" w:space="0" w:color="auto"/>
                    <w:bottom w:val="none" w:sz="0" w:space="0" w:color="auto"/>
                    <w:right w:val="none" w:sz="0" w:space="0" w:color="auto"/>
                  </w:divBdr>
                  <w:divsChild>
                    <w:div w:id="1318152604">
                      <w:marLeft w:val="0"/>
                      <w:marRight w:val="0"/>
                      <w:marTop w:val="0"/>
                      <w:marBottom w:val="0"/>
                      <w:divBdr>
                        <w:top w:val="none" w:sz="0" w:space="0" w:color="auto"/>
                        <w:left w:val="none" w:sz="0" w:space="0" w:color="auto"/>
                        <w:bottom w:val="none" w:sz="0" w:space="0" w:color="auto"/>
                        <w:right w:val="none" w:sz="0" w:space="0" w:color="auto"/>
                      </w:divBdr>
                      <w:divsChild>
                        <w:div w:id="6201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3148">
      <w:bodyDiv w:val="1"/>
      <w:marLeft w:val="0"/>
      <w:marRight w:val="0"/>
      <w:marTop w:val="0"/>
      <w:marBottom w:val="0"/>
      <w:divBdr>
        <w:top w:val="none" w:sz="0" w:space="0" w:color="auto"/>
        <w:left w:val="none" w:sz="0" w:space="0" w:color="auto"/>
        <w:bottom w:val="none" w:sz="0" w:space="0" w:color="auto"/>
        <w:right w:val="none" w:sz="0" w:space="0" w:color="auto"/>
      </w:divBdr>
    </w:div>
    <w:div w:id="1810896519">
      <w:bodyDiv w:val="1"/>
      <w:marLeft w:val="0"/>
      <w:marRight w:val="0"/>
      <w:marTop w:val="0"/>
      <w:marBottom w:val="0"/>
      <w:divBdr>
        <w:top w:val="none" w:sz="0" w:space="0" w:color="auto"/>
        <w:left w:val="none" w:sz="0" w:space="0" w:color="auto"/>
        <w:bottom w:val="none" w:sz="0" w:space="0" w:color="auto"/>
        <w:right w:val="none" w:sz="0" w:space="0" w:color="auto"/>
      </w:divBdr>
    </w:div>
    <w:div w:id="1865750394">
      <w:bodyDiv w:val="1"/>
      <w:marLeft w:val="0"/>
      <w:marRight w:val="0"/>
      <w:marTop w:val="0"/>
      <w:marBottom w:val="0"/>
      <w:divBdr>
        <w:top w:val="none" w:sz="0" w:space="0" w:color="auto"/>
        <w:left w:val="none" w:sz="0" w:space="0" w:color="auto"/>
        <w:bottom w:val="none" w:sz="0" w:space="0" w:color="auto"/>
        <w:right w:val="none" w:sz="0" w:space="0" w:color="auto"/>
      </w:divBdr>
    </w:div>
    <w:div w:id="1895503072">
      <w:bodyDiv w:val="1"/>
      <w:marLeft w:val="0"/>
      <w:marRight w:val="0"/>
      <w:marTop w:val="0"/>
      <w:marBottom w:val="0"/>
      <w:divBdr>
        <w:top w:val="none" w:sz="0" w:space="0" w:color="auto"/>
        <w:left w:val="none" w:sz="0" w:space="0" w:color="auto"/>
        <w:bottom w:val="none" w:sz="0" w:space="0" w:color="auto"/>
        <w:right w:val="none" w:sz="0" w:space="0" w:color="auto"/>
      </w:divBdr>
    </w:div>
    <w:div w:id="1902017531">
      <w:bodyDiv w:val="1"/>
      <w:marLeft w:val="0"/>
      <w:marRight w:val="0"/>
      <w:marTop w:val="0"/>
      <w:marBottom w:val="0"/>
      <w:divBdr>
        <w:top w:val="none" w:sz="0" w:space="0" w:color="auto"/>
        <w:left w:val="none" w:sz="0" w:space="0" w:color="auto"/>
        <w:bottom w:val="none" w:sz="0" w:space="0" w:color="auto"/>
        <w:right w:val="none" w:sz="0" w:space="0" w:color="auto"/>
      </w:divBdr>
      <w:divsChild>
        <w:div w:id="870461039">
          <w:marLeft w:val="0"/>
          <w:marRight w:val="0"/>
          <w:marTop w:val="0"/>
          <w:marBottom w:val="0"/>
          <w:divBdr>
            <w:top w:val="none" w:sz="0" w:space="0" w:color="auto"/>
            <w:left w:val="none" w:sz="0" w:space="0" w:color="auto"/>
            <w:bottom w:val="none" w:sz="0" w:space="0" w:color="auto"/>
            <w:right w:val="none" w:sz="0" w:space="0" w:color="auto"/>
          </w:divBdr>
          <w:divsChild>
            <w:div w:id="453327450">
              <w:marLeft w:val="0"/>
              <w:marRight w:val="0"/>
              <w:marTop w:val="0"/>
              <w:marBottom w:val="0"/>
              <w:divBdr>
                <w:top w:val="none" w:sz="0" w:space="0" w:color="auto"/>
                <w:left w:val="none" w:sz="0" w:space="0" w:color="auto"/>
                <w:bottom w:val="none" w:sz="0" w:space="0" w:color="auto"/>
                <w:right w:val="none" w:sz="0" w:space="0" w:color="auto"/>
              </w:divBdr>
              <w:divsChild>
                <w:div w:id="241068026">
                  <w:marLeft w:val="0"/>
                  <w:marRight w:val="0"/>
                  <w:marTop w:val="120"/>
                  <w:marBottom w:val="0"/>
                  <w:divBdr>
                    <w:top w:val="single" w:sz="6" w:space="0" w:color="AFC4D5"/>
                    <w:left w:val="single" w:sz="6" w:space="0" w:color="AFC4D5"/>
                    <w:bottom w:val="single" w:sz="6" w:space="0" w:color="AFC4D5"/>
                    <w:right w:val="single" w:sz="6" w:space="0" w:color="AFC4D5"/>
                  </w:divBdr>
                  <w:divsChild>
                    <w:div w:id="2078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7598">
      <w:bodyDiv w:val="1"/>
      <w:marLeft w:val="0"/>
      <w:marRight w:val="0"/>
      <w:marTop w:val="0"/>
      <w:marBottom w:val="0"/>
      <w:divBdr>
        <w:top w:val="none" w:sz="0" w:space="0" w:color="auto"/>
        <w:left w:val="none" w:sz="0" w:space="0" w:color="auto"/>
        <w:bottom w:val="none" w:sz="0" w:space="0" w:color="auto"/>
        <w:right w:val="none" w:sz="0" w:space="0" w:color="auto"/>
      </w:divBdr>
    </w:div>
    <w:div w:id="1928229935">
      <w:bodyDiv w:val="1"/>
      <w:marLeft w:val="0"/>
      <w:marRight w:val="0"/>
      <w:marTop w:val="0"/>
      <w:marBottom w:val="0"/>
      <w:divBdr>
        <w:top w:val="none" w:sz="0" w:space="0" w:color="auto"/>
        <w:left w:val="none" w:sz="0" w:space="0" w:color="auto"/>
        <w:bottom w:val="none" w:sz="0" w:space="0" w:color="auto"/>
        <w:right w:val="none" w:sz="0" w:space="0" w:color="auto"/>
      </w:divBdr>
    </w:div>
    <w:div w:id="1931160327">
      <w:bodyDiv w:val="1"/>
      <w:marLeft w:val="0"/>
      <w:marRight w:val="0"/>
      <w:marTop w:val="0"/>
      <w:marBottom w:val="0"/>
      <w:divBdr>
        <w:top w:val="none" w:sz="0" w:space="0" w:color="auto"/>
        <w:left w:val="none" w:sz="0" w:space="0" w:color="auto"/>
        <w:bottom w:val="none" w:sz="0" w:space="0" w:color="auto"/>
        <w:right w:val="none" w:sz="0" w:space="0" w:color="auto"/>
      </w:divBdr>
    </w:div>
    <w:div w:id="1934706801">
      <w:bodyDiv w:val="1"/>
      <w:marLeft w:val="0"/>
      <w:marRight w:val="0"/>
      <w:marTop w:val="0"/>
      <w:marBottom w:val="0"/>
      <w:divBdr>
        <w:top w:val="none" w:sz="0" w:space="0" w:color="auto"/>
        <w:left w:val="none" w:sz="0" w:space="0" w:color="auto"/>
        <w:bottom w:val="none" w:sz="0" w:space="0" w:color="auto"/>
        <w:right w:val="none" w:sz="0" w:space="0" w:color="auto"/>
      </w:divBdr>
    </w:div>
    <w:div w:id="1982885013">
      <w:bodyDiv w:val="1"/>
      <w:marLeft w:val="0"/>
      <w:marRight w:val="0"/>
      <w:marTop w:val="0"/>
      <w:marBottom w:val="0"/>
      <w:divBdr>
        <w:top w:val="none" w:sz="0" w:space="0" w:color="auto"/>
        <w:left w:val="none" w:sz="0" w:space="0" w:color="auto"/>
        <w:bottom w:val="none" w:sz="0" w:space="0" w:color="auto"/>
        <w:right w:val="none" w:sz="0" w:space="0" w:color="auto"/>
      </w:divBdr>
      <w:divsChild>
        <w:div w:id="1661423191">
          <w:marLeft w:val="0"/>
          <w:marRight w:val="0"/>
          <w:marTop w:val="0"/>
          <w:marBottom w:val="0"/>
          <w:divBdr>
            <w:top w:val="none" w:sz="0" w:space="0" w:color="auto"/>
            <w:left w:val="none" w:sz="0" w:space="0" w:color="auto"/>
            <w:bottom w:val="none" w:sz="0" w:space="0" w:color="auto"/>
            <w:right w:val="none" w:sz="0" w:space="0" w:color="auto"/>
          </w:divBdr>
          <w:divsChild>
            <w:div w:id="2115469093">
              <w:marLeft w:val="0"/>
              <w:marRight w:val="0"/>
              <w:marTop w:val="0"/>
              <w:marBottom w:val="0"/>
              <w:divBdr>
                <w:top w:val="none" w:sz="0" w:space="0" w:color="auto"/>
                <w:left w:val="none" w:sz="0" w:space="0" w:color="auto"/>
                <w:bottom w:val="none" w:sz="0" w:space="0" w:color="auto"/>
                <w:right w:val="none" w:sz="0" w:space="0" w:color="auto"/>
              </w:divBdr>
              <w:divsChild>
                <w:div w:id="610743893">
                  <w:marLeft w:val="0"/>
                  <w:marRight w:val="0"/>
                  <w:marTop w:val="300"/>
                  <w:marBottom w:val="0"/>
                  <w:divBdr>
                    <w:top w:val="single" w:sz="6" w:space="0" w:color="D0D0D0"/>
                    <w:left w:val="none" w:sz="0" w:space="0" w:color="auto"/>
                    <w:bottom w:val="none" w:sz="0" w:space="0" w:color="auto"/>
                    <w:right w:val="none" w:sz="0" w:space="0" w:color="auto"/>
                  </w:divBdr>
                  <w:divsChild>
                    <w:div w:id="116144813">
                      <w:marLeft w:val="0"/>
                      <w:marRight w:val="0"/>
                      <w:marTop w:val="0"/>
                      <w:marBottom w:val="0"/>
                      <w:divBdr>
                        <w:top w:val="none" w:sz="0" w:space="0" w:color="auto"/>
                        <w:left w:val="none" w:sz="0" w:space="0" w:color="auto"/>
                        <w:bottom w:val="none" w:sz="0" w:space="0" w:color="auto"/>
                        <w:right w:val="none" w:sz="0" w:space="0" w:color="auto"/>
                      </w:divBdr>
                      <w:divsChild>
                        <w:div w:id="15395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175554">
      <w:bodyDiv w:val="1"/>
      <w:marLeft w:val="0"/>
      <w:marRight w:val="0"/>
      <w:marTop w:val="0"/>
      <w:marBottom w:val="0"/>
      <w:divBdr>
        <w:top w:val="none" w:sz="0" w:space="0" w:color="auto"/>
        <w:left w:val="none" w:sz="0" w:space="0" w:color="auto"/>
        <w:bottom w:val="none" w:sz="0" w:space="0" w:color="auto"/>
        <w:right w:val="none" w:sz="0" w:space="0" w:color="auto"/>
      </w:divBdr>
    </w:div>
    <w:div w:id="2018995541">
      <w:bodyDiv w:val="1"/>
      <w:marLeft w:val="0"/>
      <w:marRight w:val="0"/>
      <w:marTop w:val="0"/>
      <w:marBottom w:val="0"/>
      <w:divBdr>
        <w:top w:val="none" w:sz="0" w:space="0" w:color="auto"/>
        <w:left w:val="none" w:sz="0" w:space="0" w:color="auto"/>
        <w:bottom w:val="none" w:sz="0" w:space="0" w:color="auto"/>
        <w:right w:val="none" w:sz="0" w:space="0" w:color="auto"/>
      </w:divBdr>
    </w:div>
    <w:div w:id="20911932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1E8E-D639-4F28-B6D6-69693D59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4</DocSecurity>
  <PresentationFormat/>
  <Lines>7</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博时价值增长贰号证券投资基金关于增加华泰证券有限责任公司</vt:lpstr>
    </vt:vector>
  </TitlesOfParts>
  <Company>company</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ZHONGM</cp:lastModifiedBy>
  <cp:revision>2</cp:revision>
  <cp:lastPrinted>2015-07-24T09:21:00Z</cp:lastPrinted>
  <dcterms:created xsi:type="dcterms:W3CDTF">2024-04-08T16:00:00Z</dcterms:created>
  <dcterms:modified xsi:type="dcterms:W3CDTF">2024-04-08T16:00:00Z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