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4F" w:rsidRDefault="004207B0" w:rsidP="004D6E60">
      <w:pPr>
        <w:spacing w:line="360" w:lineRule="auto"/>
        <w:ind w:firstLineChars="200" w:firstLine="482"/>
        <w:jc w:val="center"/>
        <w:rPr>
          <w:rFonts w:eastAsia="宋体"/>
          <w:b/>
          <w:sz w:val="24"/>
        </w:rPr>
      </w:pPr>
      <w:bookmarkStart w:id="0" w:name="_GoBack"/>
      <w:r>
        <w:rPr>
          <w:rFonts w:hint="eastAsia"/>
          <w:b/>
          <w:sz w:val="24"/>
        </w:rPr>
        <w:t>华夏基金管理有限公司</w:t>
      </w:r>
    </w:p>
    <w:p w:rsidR="004207B0" w:rsidRPr="00C7534F" w:rsidRDefault="004207B0" w:rsidP="004D6E60">
      <w:pPr>
        <w:spacing w:line="360" w:lineRule="auto"/>
        <w:ind w:firstLineChars="200" w:firstLine="482"/>
        <w:jc w:val="center"/>
        <w:rPr>
          <w:rFonts w:eastAsia="宋体"/>
          <w:b/>
          <w:sz w:val="24"/>
        </w:rPr>
      </w:pPr>
      <w:r>
        <w:rPr>
          <w:rFonts w:hint="eastAsia"/>
          <w:b/>
          <w:sz w:val="24"/>
        </w:rPr>
        <w:t>关于限制</w:t>
      </w:r>
      <w:r>
        <w:rPr>
          <w:rFonts w:asciiTheme="minorEastAsia" w:eastAsiaTheme="minorEastAsia" w:hAnsiTheme="minorEastAsia" w:cs="宋体" w:hint="eastAsia"/>
          <w:b/>
          <w:kern w:val="0"/>
          <w:sz w:val="24"/>
          <w:szCs w:val="24"/>
        </w:rPr>
        <w:t>华夏鼎昭利率债债券型证券投资基金</w:t>
      </w:r>
    </w:p>
    <w:p w:rsidR="003A6691" w:rsidRDefault="004207B0" w:rsidP="004D6E60">
      <w:pPr>
        <w:widowControl/>
        <w:spacing w:line="360" w:lineRule="auto"/>
        <w:jc w:val="center"/>
        <w:rPr>
          <w:rFonts w:asciiTheme="minorEastAsia" w:eastAsiaTheme="minorEastAsia" w:hAnsiTheme="minorEastAsia" w:cs="宋体"/>
          <w:b/>
          <w:kern w:val="0"/>
          <w:sz w:val="24"/>
          <w:szCs w:val="24"/>
        </w:rPr>
      </w:pPr>
      <w:r w:rsidRPr="004207B0">
        <w:rPr>
          <w:rFonts w:asciiTheme="minorEastAsia" w:eastAsiaTheme="minorEastAsia" w:hAnsiTheme="minorEastAsia" w:cs="宋体" w:hint="eastAsia"/>
          <w:b/>
          <w:kern w:val="0"/>
          <w:sz w:val="24"/>
          <w:szCs w:val="24"/>
        </w:rPr>
        <w:t>申购及转换转入业务的公告</w:t>
      </w:r>
    </w:p>
    <w:p w:rsidR="003A6691" w:rsidRDefault="00BC58DC" w:rsidP="004D6E60">
      <w:pPr>
        <w:spacing w:line="560" w:lineRule="exact"/>
        <w:jc w:val="center"/>
        <w:rPr>
          <w:rFonts w:asciiTheme="minorEastAsia" w:eastAsiaTheme="minorEastAsia" w:hAnsiTheme="minorEastAsia" w:cs="宋体"/>
          <w:b/>
          <w:bCs/>
          <w:sz w:val="24"/>
          <w:szCs w:val="24"/>
        </w:rPr>
      </w:pPr>
      <w:r>
        <w:rPr>
          <w:rFonts w:asciiTheme="minorEastAsia" w:eastAsiaTheme="minorEastAsia" w:hAnsiTheme="minorEastAsia"/>
          <w:b/>
          <w:bCs/>
          <w:color w:val="000000"/>
          <w:sz w:val="24"/>
          <w:szCs w:val="24"/>
        </w:rPr>
        <w:t>公告送出日期：</w:t>
      </w:r>
      <w:r>
        <w:rPr>
          <w:rFonts w:eastAsiaTheme="minorEastAsia"/>
          <w:b/>
          <w:bCs/>
          <w:sz w:val="24"/>
          <w:szCs w:val="24"/>
        </w:rPr>
        <w:t>2024</w:t>
      </w:r>
      <w:r>
        <w:rPr>
          <w:rFonts w:eastAsiaTheme="minorEastAsia"/>
          <w:b/>
          <w:bCs/>
          <w:sz w:val="24"/>
          <w:szCs w:val="24"/>
        </w:rPr>
        <w:t>年</w:t>
      </w:r>
      <w:r>
        <w:rPr>
          <w:rFonts w:eastAsiaTheme="minorEastAsia"/>
          <w:b/>
          <w:bCs/>
          <w:sz w:val="24"/>
          <w:szCs w:val="24"/>
        </w:rPr>
        <w:t>4</w:t>
      </w:r>
      <w:r>
        <w:rPr>
          <w:rFonts w:eastAsiaTheme="minorEastAsia"/>
          <w:b/>
          <w:bCs/>
          <w:sz w:val="24"/>
          <w:szCs w:val="24"/>
        </w:rPr>
        <w:t>月</w:t>
      </w:r>
      <w:r>
        <w:rPr>
          <w:rFonts w:eastAsiaTheme="minorEastAsia"/>
          <w:b/>
          <w:bCs/>
          <w:sz w:val="24"/>
          <w:szCs w:val="24"/>
        </w:rPr>
        <w:t>9</w:t>
      </w:r>
      <w:r>
        <w:rPr>
          <w:rFonts w:eastAsiaTheme="minorEastAsia"/>
          <w:b/>
          <w:bCs/>
          <w:sz w:val="24"/>
          <w:szCs w:val="24"/>
        </w:rPr>
        <w:t>日</w:t>
      </w:r>
    </w:p>
    <w:p w:rsidR="003A6691" w:rsidRDefault="003A6691" w:rsidP="004D6E60">
      <w:pPr>
        <w:spacing w:line="560" w:lineRule="exact"/>
        <w:jc w:val="center"/>
        <w:rPr>
          <w:rFonts w:asciiTheme="minorEastAsia" w:eastAsiaTheme="minorEastAsia" w:hAnsiTheme="minorEastAsia"/>
          <w:color w:val="000000"/>
          <w:sz w:val="24"/>
          <w:szCs w:val="24"/>
        </w:rPr>
      </w:pPr>
    </w:p>
    <w:p w:rsidR="003A6691" w:rsidRPr="004207B0" w:rsidRDefault="00BC58DC" w:rsidP="004D6E60">
      <w:pPr>
        <w:pStyle w:val="2"/>
        <w:spacing w:line="360" w:lineRule="auto"/>
        <w:ind w:firstLineChars="200" w:firstLine="482"/>
        <w:rPr>
          <w:rFonts w:ascii="Times New Roman" w:eastAsiaTheme="minorEastAsia" w:hAnsi="Times New Roman"/>
          <w:bCs w:val="0"/>
          <w:color w:val="000000"/>
          <w:sz w:val="24"/>
          <w:szCs w:val="24"/>
        </w:rPr>
      </w:pPr>
      <w:bookmarkStart w:id="1" w:name="_Toc275961405"/>
      <w:r w:rsidRPr="004207B0">
        <w:rPr>
          <w:rFonts w:ascii="Times New Roman" w:eastAsiaTheme="minorEastAsia" w:hAnsi="Times New Roman"/>
          <w:bCs w:val="0"/>
          <w:color w:val="000000"/>
          <w:sz w:val="24"/>
          <w:szCs w:val="24"/>
        </w:rPr>
        <w:t xml:space="preserve">1 </w:t>
      </w:r>
      <w:r w:rsidRPr="004207B0">
        <w:rPr>
          <w:rFonts w:ascii="Times New Roman" w:eastAsiaTheme="minorEastAsia" w:hAnsi="Times New Roman"/>
          <w:bCs w:val="0"/>
          <w:color w:val="000000"/>
          <w:sz w:val="24"/>
          <w:szCs w:val="24"/>
        </w:rPr>
        <w:t>公告基本信息</w:t>
      </w:r>
      <w:bookmarkEnd w:id="1"/>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6"/>
        <w:gridCol w:w="3260"/>
        <w:gridCol w:w="3271"/>
      </w:tblGrid>
      <w:tr w:rsidR="003A6691" w:rsidRPr="004207B0" w:rsidTr="004207B0">
        <w:trPr>
          <w:jc w:val="center"/>
        </w:trPr>
        <w:tc>
          <w:tcPr>
            <w:tcW w:w="3046" w:type="dxa"/>
          </w:tcPr>
          <w:p w:rsidR="003A6691" w:rsidRPr="004207B0" w:rsidRDefault="00BC58DC" w:rsidP="004D6E60">
            <w:pPr>
              <w:rPr>
                <w:sz w:val="21"/>
                <w:szCs w:val="21"/>
                <w:highlight w:val="cyan"/>
              </w:rPr>
            </w:pPr>
            <w:r w:rsidRPr="004207B0">
              <w:rPr>
                <w:sz w:val="21"/>
                <w:szCs w:val="21"/>
              </w:rPr>
              <w:t>基金名称</w:t>
            </w:r>
          </w:p>
        </w:tc>
        <w:tc>
          <w:tcPr>
            <w:tcW w:w="6531" w:type="dxa"/>
            <w:gridSpan w:val="2"/>
            <w:vAlign w:val="center"/>
          </w:tcPr>
          <w:p w:rsidR="003A6691" w:rsidRPr="004207B0" w:rsidRDefault="00BC58DC" w:rsidP="004D6E60">
            <w:pPr>
              <w:rPr>
                <w:sz w:val="21"/>
                <w:szCs w:val="21"/>
              </w:rPr>
            </w:pPr>
            <w:r w:rsidRPr="004207B0">
              <w:rPr>
                <w:sz w:val="21"/>
                <w:szCs w:val="21"/>
              </w:rPr>
              <w:t>华夏鼎昭利率债债券型证券投资基金</w:t>
            </w:r>
          </w:p>
        </w:tc>
      </w:tr>
      <w:tr w:rsidR="003A6691" w:rsidRPr="004207B0" w:rsidTr="004207B0">
        <w:trPr>
          <w:jc w:val="center"/>
        </w:trPr>
        <w:tc>
          <w:tcPr>
            <w:tcW w:w="3046" w:type="dxa"/>
          </w:tcPr>
          <w:p w:rsidR="003A6691" w:rsidRPr="004207B0" w:rsidRDefault="00BC58DC" w:rsidP="004D6E60">
            <w:pPr>
              <w:rPr>
                <w:sz w:val="21"/>
                <w:szCs w:val="21"/>
              </w:rPr>
            </w:pPr>
            <w:r w:rsidRPr="004207B0">
              <w:rPr>
                <w:sz w:val="21"/>
                <w:szCs w:val="21"/>
              </w:rPr>
              <w:t>基金简称</w:t>
            </w:r>
          </w:p>
        </w:tc>
        <w:tc>
          <w:tcPr>
            <w:tcW w:w="6531" w:type="dxa"/>
            <w:gridSpan w:val="2"/>
            <w:vAlign w:val="center"/>
          </w:tcPr>
          <w:p w:rsidR="003A6691" w:rsidRPr="004207B0" w:rsidRDefault="00BC58DC" w:rsidP="004D6E60">
            <w:pPr>
              <w:rPr>
                <w:sz w:val="21"/>
                <w:szCs w:val="21"/>
              </w:rPr>
            </w:pPr>
            <w:r w:rsidRPr="004207B0">
              <w:rPr>
                <w:sz w:val="21"/>
                <w:szCs w:val="21"/>
              </w:rPr>
              <w:t>华夏鼎昭利率债债券</w:t>
            </w:r>
          </w:p>
        </w:tc>
      </w:tr>
      <w:tr w:rsidR="003A6691" w:rsidRPr="004207B0" w:rsidTr="004207B0">
        <w:trPr>
          <w:jc w:val="center"/>
        </w:trPr>
        <w:tc>
          <w:tcPr>
            <w:tcW w:w="3046" w:type="dxa"/>
            <w:vAlign w:val="center"/>
          </w:tcPr>
          <w:p w:rsidR="003A6691" w:rsidRPr="004207B0" w:rsidRDefault="00BC58DC" w:rsidP="004D6E60">
            <w:pPr>
              <w:rPr>
                <w:sz w:val="21"/>
                <w:szCs w:val="21"/>
              </w:rPr>
            </w:pPr>
            <w:r w:rsidRPr="004207B0">
              <w:rPr>
                <w:sz w:val="21"/>
                <w:szCs w:val="21"/>
              </w:rPr>
              <w:t>基金主代码</w:t>
            </w:r>
          </w:p>
        </w:tc>
        <w:tc>
          <w:tcPr>
            <w:tcW w:w="6531" w:type="dxa"/>
            <w:gridSpan w:val="2"/>
            <w:vAlign w:val="center"/>
          </w:tcPr>
          <w:p w:rsidR="003A6691" w:rsidRPr="004207B0" w:rsidRDefault="00BC58DC" w:rsidP="004D6E60">
            <w:pPr>
              <w:rPr>
                <w:sz w:val="21"/>
                <w:szCs w:val="21"/>
              </w:rPr>
            </w:pPr>
            <w:r w:rsidRPr="004207B0">
              <w:rPr>
                <w:sz w:val="21"/>
                <w:szCs w:val="21"/>
              </w:rPr>
              <w:t>020565</w:t>
            </w:r>
          </w:p>
        </w:tc>
      </w:tr>
      <w:tr w:rsidR="003A6691" w:rsidRPr="004207B0" w:rsidTr="004207B0">
        <w:trPr>
          <w:jc w:val="center"/>
        </w:trPr>
        <w:tc>
          <w:tcPr>
            <w:tcW w:w="3046" w:type="dxa"/>
          </w:tcPr>
          <w:p w:rsidR="003A6691" w:rsidRPr="004207B0" w:rsidRDefault="00BC58DC" w:rsidP="004D6E60">
            <w:pPr>
              <w:rPr>
                <w:sz w:val="21"/>
                <w:szCs w:val="21"/>
              </w:rPr>
            </w:pPr>
            <w:r w:rsidRPr="004207B0">
              <w:rPr>
                <w:sz w:val="21"/>
                <w:szCs w:val="21"/>
              </w:rPr>
              <w:t>基金管理人名称</w:t>
            </w:r>
          </w:p>
        </w:tc>
        <w:tc>
          <w:tcPr>
            <w:tcW w:w="6531" w:type="dxa"/>
            <w:gridSpan w:val="2"/>
            <w:vAlign w:val="center"/>
          </w:tcPr>
          <w:p w:rsidR="003A6691" w:rsidRPr="004207B0" w:rsidRDefault="00BC58DC" w:rsidP="004D6E60">
            <w:pPr>
              <w:rPr>
                <w:sz w:val="21"/>
                <w:szCs w:val="21"/>
              </w:rPr>
            </w:pPr>
            <w:r w:rsidRPr="004207B0">
              <w:rPr>
                <w:sz w:val="21"/>
                <w:szCs w:val="21"/>
              </w:rPr>
              <w:t>华夏基金管理有限公司</w:t>
            </w:r>
          </w:p>
        </w:tc>
      </w:tr>
      <w:tr w:rsidR="003A6691" w:rsidRPr="004207B0" w:rsidTr="004207B0">
        <w:trPr>
          <w:jc w:val="center"/>
        </w:trPr>
        <w:tc>
          <w:tcPr>
            <w:tcW w:w="3046" w:type="dxa"/>
          </w:tcPr>
          <w:p w:rsidR="003A6691" w:rsidRPr="004207B0" w:rsidRDefault="00BC58DC" w:rsidP="004D6E60">
            <w:pPr>
              <w:rPr>
                <w:sz w:val="21"/>
                <w:szCs w:val="21"/>
              </w:rPr>
            </w:pPr>
            <w:r w:rsidRPr="004207B0">
              <w:rPr>
                <w:sz w:val="21"/>
                <w:szCs w:val="21"/>
              </w:rPr>
              <w:t>公告依据</w:t>
            </w:r>
          </w:p>
        </w:tc>
        <w:tc>
          <w:tcPr>
            <w:tcW w:w="6531" w:type="dxa"/>
            <w:gridSpan w:val="2"/>
            <w:vAlign w:val="center"/>
          </w:tcPr>
          <w:p w:rsidR="003A6691" w:rsidRPr="004207B0" w:rsidRDefault="00BC58DC" w:rsidP="004D6E60">
            <w:pPr>
              <w:rPr>
                <w:sz w:val="21"/>
                <w:szCs w:val="21"/>
              </w:rPr>
            </w:pPr>
            <w:r w:rsidRPr="004207B0">
              <w:rPr>
                <w:sz w:val="21"/>
                <w:szCs w:val="21"/>
              </w:rPr>
              <w:t>《公开募集证券投资基金信息披露管理办法》《华夏鼎昭利率债债券型证券投资基金基金合同》《华夏鼎昭利率债债券型证券投资基金招募说明书》</w:t>
            </w:r>
          </w:p>
        </w:tc>
      </w:tr>
      <w:tr w:rsidR="004207B0" w:rsidRPr="004207B0" w:rsidTr="004207B0">
        <w:trPr>
          <w:jc w:val="center"/>
        </w:trPr>
        <w:tc>
          <w:tcPr>
            <w:tcW w:w="3046" w:type="dxa"/>
            <w:vMerge w:val="restart"/>
          </w:tcPr>
          <w:p w:rsidR="004207B0" w:rsidRPr="004207B0" w:rsidRDefault="004207B0" w:rsidP="004D6E60">
            <w:pPr>
              <w:rPr>
                <w:sz w:val="21"/>
                <w:szCs w:val="21"/>
              </w:rPr>
            </w:pPr>
            <w:r w:rsidRPr="004207B0">
              <w:rPr>
                <w:sz w:val="21"/>
                <w:szCs w:val="21"/>
              </w:rPr>
              <w:t>限制申购及转换转入业务的起始日及原因说明</w:t>
            </w:r>
          </w:p>
        </w:tc>
        <w:tc>
          <w:tcPr>
            <w:tcW w:w="3260" w:type="dxa"/>
          </w:tcPr>
          <w:p w:rsidR="004207B0" w:rsidRPr="004207B0" w:rsidRDefault="004207B0" w:rsidP="004D6E60">
            <w:pPr>
              <w:rPr>
                <w:sz w:val="21"/>
                <w:szCs w:val="21"/>
              </w:rPr>
            </w:pPr>
            <w:r w:rsidRPr="004207B0">
              <w:rPr>
                <w:sz w:val="21"/>
                <w:szCs w:val="21"/>
              </w:rPr>
              <w:t>限制申购及转换转入起始日</w:t>
            </w:r>
          </w:p>
        </w:tc>
        <w:tc>
          <w:tcPr>
            <w:tcW w:w="3271" w:type="dxa"/>
          </w:tcPr>
          <w:p w:rsidR="004207B0" w:rsidRPr="004207B0" w:rsidRDefault="004207B0" w:rsidP="004D6E60">
            <w:pPr>
              <w:rPr>
                <w:sz w:val="21"/>
                <w:szCs w:val="21"/>
              </w:rPr>
            </w:pPr>
            <w:r w:rsidRPr="004207B0">
              <w:rPr>
                <w:sz w:val="21"/>
                <w:szCs w:val="21"/>
              </w:rPr>
              <w:t>2024</w:t>
            </w:r>
            <w:r w:rsidRPr="004207B0">
              <w:rPr>
                <w:sz w:val="21"/>
                <w:szCs w:val="21"/>
              </w:rPr>
              <w:t>年</w:t>
            </w:r>
            <w:r w:rsidRPr="004207B0">
              <w:rPr>
                <w:sz w:val="21"/>
                <w:szCs w:val="21"/>
              </w:rPr>
              <w:t>4</w:t>
            </w:r>
            <w:r w:rsidRPr="004207B0">
              <w:rPr>
                <w:sz w:val="21"/>
                <w:szCs w:val="21"/>
              </w:rPr>
              <w:t>月</w:t>
            </w:r>
            <w:r w:rsidR="009465C9">
              <w:rPr>
                <w:sz w:val="21"/>
                <w:szCs w:val="21"/>
              </w:rPr>
              <w:t>10</w:t>
            </w:r>
            <w:r w:rsidRPr="004207B0">
              <w:rPr>
                <w:sz w:val="21"/>
                <w:szCs w:val="21"/>
              </w:rPr>
              <w:t>日</w:t>
            </w:r>
          </w:p>
        </w:tc>
      </w:tr>
      <w:tr w:rsidR="004207B0" w:rsidRPr="004207B0" w:rsidTr="004207B0">
        <w:trPr>
          <w:jc w:val="center"/>
        </w:trPr>
        <w:tc>
          <w:tcPr>
            <w:tcW w:w="3046" w:type="dxa"/>
            <w:vMerge/>
            <w:vAlign w:val="center"/>
          </w:tcPr>
          <w:p w:rsidR="004207B0" w:rsidRPr="004207B0" w:rsidRDefault="004207B0" w:rsidP="004D6E60">
            <w:pPr>
              <w:rPr>
                <w:sz w:val="21"/>
                <w:szCs w:val="21"/>
              </w:rPr>
            </w:pPr>
          </w:p>
        </w:tc>
        <w:tc>
          <w:tcPr>
            <w:tcW w:w="3260" w:type="dxa"/>
          </w:tcPr>
          <w:p w:rsidR="004207B0" w:rsidRPr="004207B0" w:rsidRDefault="004207B0" w:rsidP="004D6E60">
            <w:pPr>
              <w:rPr>
                <w:sz w:val="21"/>
                <w:szCs w:val="21"/>
              </w:rPr>
            </w:pPr>
            <w:r w:rsidRPr="004207B0">
              <w:rPr>
                <w:sz w:val="21"/>
                <w:szCs w:val="21"/>
              </w:rPr>
              <w:t>限制申购及转换转入的原因说明</w:t>
            </w:r>
          </w:p>
        </w:tc>
        <w:tc>
          <w:tcPr>
            <w:tcW w:w="3271" w:type="dxa"/>
          </w:tcPr>
          <w:p w:rsidR="004207B0" w:rsidRPr="004207B0" w:rsidRDefault="004207B0" w:rsidP="004D6E60">
            <w:pPr>
              <w:rPr>
                <w:sz w:val="21"/>
                <w:szCs w:val="21"/>
              </w:rPr>
            </w:pPr>
            <w:r w:rsidRPr="004207B0">
              <w:rPr>
                <w:sz w:val="21"/>
                <w:szCs w:val="21"/>
              </w:rPr>
              <w:t>保护现有基金份额持有人的利益，加强基金投资运作的稳定性。</w:t>
            </w:r>
          </w:p>
        </w:tc>
      </w:tr>
      <w:tr w:rsidR="004207B0" w:rsidRPr="004207B0" w:rsidTr="004207B0">
        <w:trPr>
          <w:jc w:val="center"/>
        </w:trPr>
        <w:tc>
          <w:tcPr>
            <w:tcW w:w="3046" w:type="dxa"/>
            <w:tcBorders>
              <w:top w:val="single" w:sz="4" w:space="0" w:color="000000"/>
              <w:left w:val="single" w:sz="4" w:space="0" w:color="000000"/>
              <w:bottom w:val="single" w:sz="4" w:space="0" w:color="000000"/>
              <w:right w:val="single" w:sz="4" w:space="0" w:color="000000"/>
            </w:tcBorders>
          </w:tcPr>
          <w:p w:rsidR="004207B0" w:rsidRPr="004207B0" w:rsidRDefault="004207B0" w:rsidP="004D6E60">
            <w:pPr>
              <w:rPr>
                <w:sz w:val="21"/>
                <w:szCs w:val="21"/>
              </w:rPr>
            </w:pPr>
            <w:r w:rsidRPr="004207B0">
              <w:rPr>
                <w:sz w:val="21"/>
                <w:szCs w:val="21"/>
              </w:rPr>
              <w:t>各基金份额类别的简称</w:t>
            </w:r>
          </w:p>
        </w:tc>
        <w:tc>
          <w:tcPr>
            <w:tcW w:w="3260" w:type="dxa"/>
            <w:vAlign w:val="center"/>
          </w:tcPr>
          <w:p w:rsidR="004207B0" w:rsidRPr="004207B0" w:rsidRDefault="004207B0" w:rsidP="004D6E60">
            <w:pPr>
              <w:rPr>
                <w:sz w:val="21"/>
                <w:szCs w:val="21"/>
              </w:rPr>
            </w:pPr>
            <w:r w:rsidRPr="004207B0">
              <w:rPr>
                <w:sz w:val="21"/>
                <w:szCs w:val="21"/>
              </w:rPr>
              <w:t>华夏鼎昭利率债债券</w:t>
            </w:r>
            <w:r w:rsidRPr="004207B0">
              <w:rPr>
                <w:sz w:val="21"/>
                <w:szCs w:val="21"/>
              </w:rPr>
              <w:t>A</w:t>
            </w:r>
          </w:p>
        </w:tc>
        <w:tc>
          <w:tcPr>
            <w:tcW w:w="3271" w:type="dxa"/>
            <w:vAlign w:val="center"/>
          </w:tcPr>
          <w:p w:rsidR="004207B0" w:rsidRPr="004207B0" w:rsidRDefault="004207B0" w:rsidP="004D6E60">
            <w:pPr>
              <w:rPr>
                <w:sz w:val="21"/>
                <w:szCs w:val="21"/>
              </w:rPr>
            </w:pPr>
            <w:r w:rsidRPr="004207B0">
              <w:rPr>
                <w:sz w:val="21"/>
                <w:szCs w:val="21"/>
              </w:rPr>
              <w:t>华夏鼎昭利率债债券</w:t>
            </w:r>
            <w:r w:rsidRPr="004207B0">
              <w:rPr>
                <w:sz w:val="21"/>
                <w:szCs w:val="21"/>
              </w:rPr>
              <w:t>C</w:t>
            </w:r>
          </w:p>
        </w:tc>
      </w:tr>
      <w:tr w:rsidR="004207B0" w:rsidRPr="004207B0" w:rsidTr="004207B0">
        <w:trPr>
          <w:jc w:val="center"/>
        </w:trPr>
        <w:tc>
          <w:tcPr>
            <w:tcW w:w="3046" w:type="dxa"/>
            <w:tcBorders>
              <w:top w:val="single" w:sz="4" w:space="0" w:color="000000"/>
              <w:left w:val="single" w:sz="4" w:space="0" w:color="000000"/>
              <w:bottom w:val="single" w:sz="4" w:space="0" w:color="000000"/>
              <w:right w:val="single" w:sz="4" w:space="0" w:color="000000"/>
            </w:tcBorders>
          </w:tcPr>
          <w:p w:rsidR="004207B0" w:rsidRPr="004207B0" w:rsidRDefault="004207B0" w:rsidP="004D6E60">
            <w:pPr>
              <w:rPr>
                <w:sz w:val="21"/>
                <w:szCs w:val="21"/>
              </w:rPr>
            </w:pPr>
            <w:r w:rsidRPr="004207B0">
              <w:rPr>
                <w:sz w:val="21"/>
                <w:szCs w:val="21"/>
              </w:rPr>
              <w:t>各基金份额类别的交易代码</w:t>
            </w:r>
          </w:p>
        </w:tc>
        <w:tc>
          <w:tcPr>
            <w:tcW w:w="3260" w:type="dxa"/>
            <w:vAlign w:val="center"/>
          </w:tcPr>
          <w:p w:rsidR="004207B0" w:rsidRPr="004207B0" w:rsidRDefault="004207B0" w:rsidP="004D6E60">
            <w:pPr>
              <w:rPr>
                <w:sz w:val="21"/>
                <w:szCs w:val="21"/>
              </w:rPr>
            </w:pPr>
            <w:r w:rsidRPr="004207B0">
              <w:rPr>
                <w:sz w:val="21"/>
                <w:szCs w:val="21"/>
              </w:rPr>
              <w:t>020565</w:t>
            </w:r>
          </w:p>
        </w:tc>
        <w:tc>
          <w:tcPr>
            <w:tcW w:w="3271" w:type="dxa"/>
            <w:vAlign w:val="center"/>
          </w:tcPr>
          <w:p w:rsidR="004207B0" w:rsidRPr="004207B0" w:rsidRDefault="004207B0" w:rsidP="004D6E60">
            <w:pPr>
              <w:rPr>
                <w:sz w:val="21"/>
                <w:szCs w:val="21"/>
              </w:rPr>
            </w:pPr>
            <w:r w:rsidRPr="004207B0">
              <w:rPr>
                <w:sz w:val="21"/>
                <w:szCs w:val="21"/>
              </w:rPr>
              <w:t>020566</w:t>
            </w:r>
          </w:p>
        </w:tc>
      </w:tr>
      <w:tr w:rsidR="004207B0" w:rsidRPr="004207B0" w:rsidTr="004207B0">
        <w:trPr>
          <w:jc w:val="center"/>
        </w:trPr>
        <w:tc>
          <w:tcPr>
            <w:tcW w:w="3046" w:type="dxa"/>
            <w:tcBorders>
              <w:top w:val="single" w:sz="4" w:space="0" w:color="000000"/>
              <w:left w:val="single" w:sz="4" w:space="0" w:color="000000"/>
              <w:bottom w:val="single" w:sz="4" w:space="0" w:color="000000"/>
              <w:right w:val="single" w:sz="4" w:space="0" w:color="000000"/>
            </w:tcBorders>
          </w:tcPr>
          <w:p w:rsidR="004207B0" w:rsidRPr="004207B0" w:rsidRDefault="004207B0" w:rsidP="004D6E60">
            <w:pPr>
              <w:rPr>
                <w:sz w:val="21"/>
                <w:szCs w:val="21"/>
              </w:rPr>
            </w:pPr>
            <w:r w:rsidRPr="004207B0">
              <w:rPr>
                <w:sz w:val="21"/>
                <w:szCs w:val="21"/>
              </w:rPr>
              <w:t>该基金份额类别是否限制申购及转换转入</w:t>
            </w:r>
          </w:p>
        </w:tc>
        <w:tc>
          <w:tcPr>
            <w:tcW w:w="3260" w:type="dxa"/>
            <w:vAlign w:val="center"/>
          </w:tcPr>
          <w:p w:rsidR="004207B0" w:rsidRPr="004207B0" w:rsidRDefault="004207B0" w:rsidP="004D6E60">
            <w:pPr>
              <w:rPr>
                <w:sz w:val="21"/>
                <w:szCs w:val="21"/>
              </w:rPr>
            </w:pPr>
            <w:r w:rsidRPr="004207B0">
              <w:rPr>
                <w:sz w:val="21"/>
                <w:szCs w:val="21"/>
              </w:rPr>
              <w:t>是</w:t>
            </w:r>
          </w:p>
        </w:tc>
        <w:tc>
          <w:tcPr>
            <w:tcW w:w="3271" w:type="dxa"/>
            <w:vAlign w:val="center"/>
          </w:tcPr>
          <w:p w:rsidR="004207B0" w:rsidRPr="004207B0" w:rsidRDefault="004207B0" w:rsidP="004D6E60">
            <w:pPr>
              <w:rPr>
                <w:sz w:val="21"/>
                <w:szCs w:val="21"/>
              </w:rPr>
            </w:pPr>
            <w:r w:rsidRPr="004207B0">
              <w:rPr>
                <w:sz w:val="21"/>
                <w:szCs w:val="21"/>
              </w:rPr>
              <w:t>是</w:t>
            </w:r>
          </w:p>
        </w:tc>
      </w:tr>
      <w:tr w:rsidR="004207B0" w:rsidRPr="004207B0" w:rsidTr="004207B0">
        <w:trPr>
          <w:jc w:val="center"/>
        </w:trPr>
        <w:tc>
          <w:tcPr>
            <w:tcW w:w="3046" w:type="dxa"/>
            <w:tcBorders>
              <w:top w:val="single" w:sz="4" w:space="0" w:color="000000"/>
              <w:left w:val="single" w:sz="4" w:space="0" w:color="000000"/>
              <w:bottom w:val="single" w:sz="4" w:space="0" w:color="000000"/>
              <w:right w:val="single" w:sz="4" w:space="0" w:color="000000"/>
            </w:tcBorders>
          </w:tcPr>
          <w:p w:rsidR="004207B0" w:rsidRPr="004207B0" w:rsidRDefault="004207B0" w:rsidP="004D6E60">
            <w:pPr>
              <w:rPr>
                <w:sz w:val="21"/>
                <w:szCs w:val="21"/>
              </w:rPr>
            </w:pPr>
            <w:r w:rsidRPr="004207B0">
              <w:rPr>
                <w:sz w:val="21"/>
                <w:szCs w:val="21"/>
              </w:rPr>
              <w:t>该基金份额类别限制申购及转换转入金额（单位：万元）</w:t>
            </w:r>
          </w:p>
        </w:tc>
        <w:tc>
          <w:tcPr>
            <w:tcW w:w="3260" w:type="dxa"/>
            <w:vAlign w:val="center"/>
          </w:tcPr>
          <w:p w:rsidR="004207B0" w:rsidRPr="004207B0" w:rsidRDefault="004207B0" w:rsidP="004D6E60">
            <w:pPr>
              <w:rPr>
                <w:sz w:val="21"/>
                <w:szCs w:val="21"/>
              </w:rPr>
            </w:pPr>
            <w:r w:rsidRPr="004207B0">
              <w:rPr>
                <w:sz w:val="21"/>
                <w:szCs w:val="21"/>
              </w:rPr>
              <w:t>100</w:t>
            </w:r>
          </w:p>
        </w:tc>
        <w:tc>
          <w:tcPr>
            <w:tcW w:w="3271" w:type="dxa"/>
            <w:vAlign w:val="center"/>
          </w:tcPr>
          <w:p w:rsidR="004207B0" w:rsidRPr="004207B0" w:rsidRDefault="004207B0" w:rsidP="004D6E60">
            <w:pPr>
              <w:rPr>
                <w:sz w:val="21"/>
                <w:szCs w:val="21"/>
              </w:rPr>
            </w:pPr>
            <w:r w:rsidRPr="004207B0">
              <w:rPr>
                <w:sz w:val="21"/>
                <w:szCs w:val="21"/>
              </w:rPr>
              <w:t>100</w:t>
            </w:r>
          </w:p>
        </w:tc>
      </w:tr>
    </w:tbl>
    <w:p w:rsidR="003A6691" w:rsidRDefault="00BC58DC" w:rsidP="004D6E60">
      <w:pPr>
        <w:pStyle w:val="2"/>
        <w:spacing w:line="360" w:lineRule="auto"/>
        <w:ind w:firstLineChars="200" w:firstLine="482"/>
        <w:rPr>
          <w:rFonts w:asciiTheme="minorEastAsia" w:eastAsiaTheme="minorEastAsia" w:hAnsiTheme="minorEastAsia"/>
          <w:bCs w:val="0"/>
          <w:color w:val="000000"/>
          <w:sz w:val="24"/>
          <w:szCs w:val="24"/>
        </w:rPr>
      </w:pPr>
      <w:bookmarkStart w:id="2" w:name="_Toc275961406"/>
      <w:r w:rsidRPr="004207B0">
        <w:rPr>
          <w:rFonts w:ascii="Times New Roman" w:eastAsiaTheme="minorEastAsia" w:hAnsi="Times New Roman"/>
          <w:bCs w:val="0"/>
          <w:color w:val="000000"/>
          <w:sz w:val="24"/>
          <w:szCs w:val="24"/>
        </w:rPr>
        <w:t>2</w:t>
      </w:r>
      <w:r w:rsidRPr="004207B0">
        <w:rPr>
          <w:rFonts w:ascii="Times New Roman" w:eastAsiaTheme="minorEastAsia" w:hAnsi="Times New Roman"/>
          <w:bCs w:val="0"/>
          <w:color w:val="000000"/>
          <w:sz w:val="24"/>
          <w:szCs w:val="24"/>
        </w:rPr>
        <w:t>其他需要提示的事项</w:t>
      </w:r>
      <w:bookmarkEnd w:id="2"/>
    </w:p>
    <w:p w:rsidR="003A6691" w:rsidRDefault="00BC58DC" w:rsidP="004D6E60">
      <w:pPr>
        <w:spacing w:line="360" w:lineRule="auto"/>
        <w:ind w:firstLineChars="200" w:firstLine="480"/>
        <w:rPr>
          <w:rFonts w:eastAsiaTheme="minorEastAsia"/>
          <w:sz w:val="24"/>
          <w:szCs w:val="24"/>
        </w:rPr>
      </w:pPr>
      <w:r w:rsidRPr="004207B0">
        <w:rPr>
          <w:rFonts w:eastAsiaTheme="minorEastAsia"/>
          <w:sz w:val="24"/>
          <w:szCs w:val="24"/>
        </w:rPr>
        <w:t>为保护现有基金份额持有人的利益，加强基金投资运作的稳定性，华夏基金管理有限公司（以下简称</w:t>
      </w:r>
      <w:r w:rsidRPr="004207B0">
        <w:rPr>
          <w:rFonts w:eastAsiaTheme="minorEastAsia"/>
          <w:sz w:val="24"/>
          <w:szCs w:val="24"/>
        </w:rPr>
        <w:t>“</w:t>
      </w:r>
      <w:r w:rsidRPr="004207B0">
        <w:rPr>
          <w:rFonts w:eastAsiaTheme="minorEastAsia"/>
          <w:sz w:val="24"/>
          <w:szCs w:val="24"/>
        </w:rPr>
        <w:t>本公司</w:t>
      </w:r>
      <w:r w:rsidRPr="004207B0">
        <w:rPr>
          <w:rFonts w:eastAsiaTheme="minorEastAsia"/>
          <w:sz w:val="24"/>
          <w:szCs w:val="24"/>
        </w:rPr>
        <w:t>”</w:t>
      </w:r>
      <w:r w:rsidRPr="004207B0">
        <w:rPr>
          <w:rFonts w:eastAsiaTheme="minorEastAsia"/>
          <w:sz w:val="24"/>
          <w:szCs w:val="24"/>
        </w:rPr>
        <w:t>）决定</w:t>
      </w:r>
      <w:bookmarkStart w:id="3" w:name="_Hlk163464081"/>
      <w:r w:rsidR="009465C9">
        <w:rPr>
          <w:rFonts w:eastAsiaTheme="minorEastAsia" w:hint="eastAsia"/>
          <w:sz w:val="24"/>
          <w:szCs w:val="24"/>
        </w:rPr>
        <w:t>自</w:t>
      </w:r>
      <w:r w:rsidR="009465C9">
        <w:rPr>
          <w:rFonts w:eastAsiaTheme="minorEastAsia" w:hint="eastAsia"/>
          <w:sz w:val="24"/>
          <w:szCs w:val="24"/>
        </w:rPr>
        <w:t>2</w:t>
      </w:r>
      <w:r w:rsidR="009465C9">
        <w:rPr>
          <w:rFonts w:eastAsiaTheme="minorEastAsia"/>
          <w:sz w:val="24"/>
          <w:szCs w:val="24"/>
        </w:rPr>
        <w:t>024</w:t>
      </w:r>
      <w:r w:rsidR="009465C9">
        <w:rPr>
          <w:rFonts w:eastAsiaTheme="minorEastAsia" w:hint="eastAsia"/>
          <w:sz w:val="24"/>
          <w:szCs w:val="24"/>
        </w:rPr>
        <w:t>年</w:t>
      </w:r>
      <w:r w:rsidR="009465C9">
        <w:rPr>
          <w:rFonts w:eastAsiaTheme="minorEastAsia" w:hint="eastAsia"/>
          <w:sz w:val="24"/>
          <w:szCs w:val="24"/>
        </w:rPr>
        <w:t>4</w:t>
      </w:r>
      <w:r w:rsidR="009465C9">
        <w:rPr>
          <w:rFonts w:eastAsiaTheme="minorEastAsia" w:hint="eastAsia"/>
          <w:sz w:val="24"/>
          <w:szCs w:val="24"/>
        </w:rPr>
        <w:t>月</w:t>
      </w:r>
      <w:r w:rsidR="009465C9">
        <w:rPr>
          <w:rFonts w:eastAsiaTheme="minorEastAsia" w:hint="eastAsia"/>
          <w:sz w:val="24"/>
          <w:szCs w:val="24"/>
        </w:rPr>
        <w:t>1</w:t>
      </w:r>
      <w:r w:rsidR="009465C9">
        <w:rPr>
          <w:rFonts w:eastAsiaTheme="minorEastAsia"/>
          <w:sz w:val="24"/>
          <w:szCs w:val="24"/>
        </w:rPr>
        <w:t>0</w:t>
      </w:r>
      <w:r w:rsidR="009465C9">
        <w:rPr>
          <w:rFonts w:eastAsiaTheme="minorEastAsia" w:hint="eastAsia"/>
          <w:sz w:val="24"/>
          <w:szCs w:val="24"/>
        </w:rPr>
        <w:t>日起</w:t>
      </w:r>
      <w:bookmarkEnd w:id="3"/>
      <w:r w:rsidRPr="004207B0">
        <w:rPr>
          <w:rFonts w:eastAsiaTheme="minorEastAsia"/>
          <w:sz w:val="24"/>
          <w:szCs w:val="24"/>
        </w:rPr>
        <w:t>对本基金</w:t>
      </w:r>
      <w:r w:rsidRPr="004207B0">
        <w:rPr>
          <w:rFonts w:eastAsiaTheme="minorEastAsia"/>
          <w:sz w:val="24"/>
          <w:szCs w:val="24"/>
        </w:rPr>
        <w:t>A</w:t>
      </w:r>
      <w:r w:rsidRPr="004207B0">
        <w:rPr>
          <w:rFonts w:eastAsiaTheme="minorEastAsia"/>
          <w:sz w:val="24"/>
          <w:szCs w:val="24"/>
        </w:rPr>
        <w:t>类、</w:t>
      </w:r>
      <w:r w:rsidRPr="004207B0">
        <w:rPr>
          <w:rFonts w:eastAsiaTheme="minorEastAsia"/>
          <w:sz w:val="24"/>
          <w:szCs w:val="24"/>
        </w:rPr>
        <w:lastRenderedPageBreak/>
        <w:t>C</w:t>
      </w:r>
      <w:r w:rsidRPr="004207B0">
        <w:rPr>
          <w:rFonts w:eastAsiaTheme="minorEastAsia"/>
          <w:sz w:val="24"/>
          <w:szCs w:val="24"/>
        </w:rPr>
        <w:t>类基金份额的申购及转换转入业务合并进行限制，即单个投资人单日累计申购及转换转入申请本基金</w:t>
      </w:r>
      <w:r w:rsidRPr="004207B0">
        <w:rPr>
          <w:rFonts w:eastAsiaTheme="minorEastAsia"/>
          <w:sz w:val="24"/>
          <w:szCs w:val="24"/>
        </w:rPr>
        <w:t>A</w:t>
      </w:r>
      <w:r w:rsidRPr="004207B0">
        <w:rPr>
          <w:rFonts w:eastAsiaTheme="minorEastAsia"/>
          <w:sz w:val="24"/>
          <w:szCs w:val="24"/>
        </w:rPr>
        <w:t>类或</w:t>
      </w:r>
      <w:r w:rsidRPr="004207B0">
        <w:rPr>
          <w:rFonts w:eastAsiaTheme="minorEastAsia"/>
          <w:sz w:val="24"/>
          <w:szCs w:val="24"/>
        </w:rPr>
        <w:t>C</w:t>
      </w:r>
      <w:r w:rsidRPr="004207B0">
        <w:rPr>
          <w:rFonts w:eastAsiaTheme="minorEastAsia"/>
          <w:sz w:val="24"/>
          <w:szCs w:val="24"/>
        </w:rPr>
        <w:t>类基金份额的合计申请金额各类别均应不超过人民币</w:t>
      </w:r>
      <w:r w:rsidRPr="004207B0">
        <w:rPr>
          <w:rFonts w:eastAsiaTheme="minorEastAsia"/>
          <w:sz w:val="24"/>
          <w:szCs w:val="24"/>
        </w:rPr>
        <w:t>100</w:t>
      </w:r>
      <w:r w:rsidRPr="004207B0">
        <w:rPr>
          <w:rFonts w:eastAsiaTheme="minorEastAsia"/>
          <w:sz w:val="24"/>
          <w:szCs w:val="24"/>
        </w:rPr>
        <w:t>万元，如申请金额超过上述限制，本基金有权部分或全部拒绝。投资者办理具体业务时应遵照本基金基金合同、招募说明书</w:t>
      </w:r>
      <w:r w:rsidR="004D6E60">
        <w:rPr>
          <w:rFonts w:eastAsiaTheme="minorEastAsia" w:hint="eastAsia"/>
          <w:sz w:val="24"/>
          <w:szCs w:val="24"/>
        </w:rPr>
        <w:t>或其更新</w:t>
      </w:r>
      <w:r w:rsidRPr="004207B0">
        <w:rPr>
          <w:rFonts w:eastAsiaTheme="minorEastAsia"/>
          <w:sz w:val="24"/>
          <w:szCs w:val="24"/>
        </w:rPr>
        <w:t>及销售机构的相关规定。</w:t>
      </w:r>
    </w:p>
    <w:p w:rsidR="00044ACC" w:rsidRPr="004207B0" w:rsidRDefault="00044ACC" w:rsidP="004D6E60">
      <w:pPr>
        <w:spacing w:line="360" w:lineRule="auto"/>
        <w:ind w:firstLineChars="200" w:firstLine="480"/>
        <w:rPr>
          <w:rFonts w:eastAsiaTheme="minorEastAsia"/>
          <w:sz w:val="24"/>
          <w:szCs w:val="24"/>
        </w:rPr>
      </w:pPr>
      <w:r>
        <w:rPr>
          <w:rFonts w:hint="eastAsia"/>
          <w:bCs/>
          <w:kern w:val="0"/>
          <w:sz w:val="24"/>
        </w:rPr>
        <w:t>除对单个投资人单日申购及转换转入业务进行限制以外，</w:t>
      </w:r>
      <w:r w:rsidRPr="0079491F">
        <w:rPr>
          <w:rFonts w:hint="eastAsia"/>
          <w:bCs/>
          <w:kern w:val="0"/>
          <w:sz w:val="24"/>
        </w:rPr>
        <w:t>为</w:t>
      </w:r>
      <w:r w:rsidRPr="009578B8">
        <w:rPr>
          <w:rFonts w:hint="eastAsia"/>
          <w:sz w:val="24"/>
        </w:rPr>
        <w:t>更好地维护基金份额持有人的利益</w:t>
      </w:r>
      <w:r w:rsidRPr="0079491F">
        <w:rPr>
          <w:rFonts w:hint="eastAsia"/>
          <w:bCs/>
          <w:kern w:val="0"/>
          <w:sz w:val="24"/>
        </w:rPr>
        <w:t>，</w:t>
      </w:r>
      <w:r>
        <w:rPr>
          <w:rFonts w:hint="eastAsia"/>
          <w:sz w:val="24"/>
          <w:szCs w:val="24"/>
        </w:rPr>
        <w:t>保障基金平稳运作</w:t>
      </w:r>
      <w:r w:rsidRPr="0079491F">
        <w:rPr>
          <w:rFonts w:hint="eastAsia"/>
          <w:bCs/>
          <w:kern w:val="0"/>
          <w:sz w:val="24"/>
        </w:rPr>
        <w:t>，</w:t>
      </w:r>
      <w:r w:rsidRPr="009578B8">
        <w:rPr>
          <w:rFonts w:hint="eastAsia"/>
          <w:sz w:val="24"/>
          <w:szCs w:val="24"/>
        </w:rPr>
        <w:t>本基金</w:t>
      </w:r>
      <w:r>
        <w:rPr>
          <w:rFonts w:hint="eastAsia"/>
          <w:sz w:val="24"/>
          <w:szCs w:val="24"/>
        </w:rPr>
        <w:t>自</w:t>
      </w:r>
      <w:r>
        <w:rPr>
          <w:rFonts w:hint="eastAsia"/>
          <w:sz w:val="24"/>
          <w:szCs w:val="24"/>
        </w:rPr>
        <w:t>2</w:t>
      </w:r>
      <w:r>
        <w:rPr>
          <w:sz w:val="24"/>
          <w:szCs w:val="24"/>
        </w:rPr>
        <w:t>024</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r>
        <w:rPr>
          <w:sz w:val="24"/>
          <w:szCs w:val="24"/>
        </w:rPr>
        <w:t>0</w:t>
      </w:r>
      <w:r>
        <w:rPr>
          <w:rFonts w:hint="eastAsia"/>
          <w:sz w:val="24"/>
          <w:szCs w:val="24"/>
        </w:rPr>
        <w:t>日起</w:t>
      </w:r>
      <w:r w:rsidRPr="009578B8">
        <w:rPr>
          <w:rFonts w:hint="eastAsia"/>
          <w:sz w:val="24"/>
          <w:szCs w:val="24"/>
        </w:rPr>
        <w:t>设置基金总规模上限为人民币</w:t>
      </w:r>
      <w:r>
        <w:rPr>
          <w:sz w:val="24"/>
          <w:szCs w:val="24"/>
        </w:rPr>
        <w:t>80</w:t>
      </w:r>
      <w:r w:rsidRPr="009578B8">
        <w:rPr>
          <w:rFonts w:hint="eastAsia"/>
          <w:sz w:val="24"/>
          <w:szCs w:val="24"/>
        </w:rPr>
        <w:t>亿元（但因基金份额净值波动导致基金资产净值超过该金额的除外），采用“按比例确认”的原则进行规模控制。具体规模控制方案详见本公司于</w:t>
      </w:r>
      <w:r>
        <w:rPr>
          <w:sz w:val="24"/>
          <w:szCs w:val="24"/>
        </w:rPr>
        <w:t>202</w:t>
      </w:r>
      <w:r>
        <w:rPr>
          <w:rFonts w:hint="eastAsia"/>
          <w:sz w:val="24"/>
          <w:szCs w:val="24"/>
        </w:rPr>
        <w:t>4</w:t>
      </w:r>
      <w:r w:rsidR="00AA75F1">
        <w:rPr>
          <w:sz w:val="24"/>
          <w:szCs w:val="24"/>
        </w:rPr>
        <w:t>年</w:t>
      </w:r>
      <w:r>
        <w:rPr>
          <w:sz w:val="24"/>
          <w:szCs w:val="24"/>
        </w:rPr>
        <w:t>4</w:t>
      </w:r>
      <w:r>
        <w:rPr>
          <w:rFonts w:hint="eastAsia"/>
          <w:sz w:val="24"/>
          <w:szCs w:val="24"/>
        </w:rPr>
        <w:t>月</w:t>
      </w:r>
      <w:r>
        <w:rPr>
          <w:sz w:val="24"/>
          <w:szCs w:val="24"/>
        </w:rPr>
        <w:t>9</w:t>
      </w:r>
      <w:r w:rsidRPr="009578B8">
        <w:rPr>
          <w:sz w:val="24"/>
          <w:szCs w:val="24"/>
        </w:rPr>
        <w:t>日发布的《华夏基金管理有限公司关于</w:t>
      </w:r>
      <w:r w:rsidRPr="001D6D56">
        <w:rPr>
          <w:rFonts w:hint="eastAsia"/>
          <w:sz w:val="24"/>
          <w:szCs w:val="24"/>
        </w:rPr>
        <w:t>华夏鼎昭利率债债券型证券投资基金</w:t>
      </w:r>
      <w:r w:rsidRPr="009578B8">
        <w:rPr>
          <w:sz w:val="24"/>
          <w:szCs w:val="24"/>
        </w:rPr>
        <w:t>规模控制方案的公告》</w:t>
      </w:r>
      <w:r w:rsidRPr="009578B8">
        <w:rPr>
          <w:rFonts w:hint="eastAsia"/>
          <w:sz w:val="24"/>
          <w:szCs w:val="24"/>
        </w:rPr>
        <w:t>。</w:t>
      </w:r>
      <w:r w:rsidRPr="00002CAD">
        <w:rPr>
          <w:rFonts w:hint="eastAsia"/>
          <w:sz w:val="24"/>
        </w:rPr>
        <w:t>基金管理人可根据基金运作情况对本基金的规模上限及控制措施进行调整，</w:t>
      </w:r>
      <w:r>
        <w:rPr>
          <w:rFonts w:hint="eastAsia"/>
          <w:sz w:val="24"/>
        </w:rPr>
        <w:t>届时</w:t>
      </w:r>
      <w:r w:rsidRPr="00002CAD">
        <w:rPr>
          <w:rFonts w:hint="eastAsia"/>
          <w:sz w:val="24"/>
        </w:rPr>
        <w:t>详见基金管理人的相关公告。</w:t>
      </w:r>
    </w:p>
    <w:p w:rsidR="003A6691" w:rsidRPr="004207B0" w:rsidRDefault="00BC58DC" w:rsidP="004D6E60">
      <w:pPr>
        <w:spacing w:line="360" w:lineRule="auto"/>
        <w:ind w:firstLineChars="200" w:firstLine="480"/>
        <w:rPr>
          <w:rFonts w:eastAsiaTheme="minorEastAsia"/>
          <w:sz w:val="24"/>
          <w:szCs w:val="24"/>
        </w:rPr>
      </w:pPr>
      <w:r w:rsidRPr="004207B0">
        <w:rPr>
          <w:rFonts w:eastAsiaTheme="minorEastAsia"/>
          <w:sz w:val="24"/>
          <w:szCs w:val="24"/>
        </w:rPr>
        <w:t>如有疑问，投资者可拨打本公司客户服务电话（</w:t>
      </w:r>
      <w:r w:rsidRPr="004207B0">
        <w:rPr>
          <w:rFonts w:eastAsiaTheme="minorEastAsia"/>
          <w:sz w:val="24"/>
          <w:szCs w:val="24"/>
        </w:rPr>
        <w:t>400-818-6666</w:t>
      </w:r>
      <w:r w:rsidRPr="004207B0">
        <w:rPr>
          <w:rFonts w:eastAsiaTheme="minorEastAsia"/>
          <w:sz w:val="24"/>
          <w:szCs w:val="24"/>
        </w:rPr>
        <w:t>）或登录本公司网站（</w:t>
      </w:r>
      <w:r w:rsidRPr="004207B0">
        <w:rPr>
          <w:rFonts w:eastAsiaTheme="minorEastAsia"/>
          <w:sz w:val="24"/>
          <w:szCs w:val="24"/>
        </w:rPr>
        <w:t>www.ChinaAMC.com</w:t>
      </w:r>
      <w:r w:rsidRPr="004207B0">
        <w:rPr>
          <w:rFonts w:eastAsiaTheme="minorEastAsia"/>
          <w:sz w:val="24"/>
          <w:szCs w:val="24"/>
        </w:rPr>
        <w:t>）获取相关信息。</w:t>
      </w:r>
    </w:p>
    <w:p w:rsidR="003A6691" w:rsidRPr="00BC58DC" w:rsidRDefault="00BC58DC" w:rsidP="004D6E60">
      <w:pPr>
        <w:spacing w:line="360" w:lineRule="auto"/>
        <w:ind w:firstLineChars="200" w:firstLine="482"/>
        <w:rPr>
          <w:rFonts w:eastAsiaTheme="minorEastAsia"/>
          <w:b/>
          <w:sz w:val="24"/>
          <w:szCs w:val="24"/>
        </w:rPr>
      </w:pPr>
      <w:r w:rsidRPr="00BC58DC">
        <w:rPr>
          <w:rFonts w:eastAsiaTheme="minorEastAsia"/>
          <w:b/>
          <w:sz w:val="24"/>
          <w:szCs w:val="24"/>
        </w:rPr>
        <w:t>风险提示：基金管理人依照恪尽职守、诚实信用、谨慎勤勉的原则管理和运用基金财产，但不保证基金一定盈利，也不保证最低收益。本基金的过往业绩及其净值高低并不预示其未来业绩表现。基金管理人提醒投资人基金投资的</w:t>
      </w:r>
      <w:r w:rsidRPr="00BC58DC">
        <w:rPr>
          <w:rFonts w:eastAsiaTheme="minorEastAsia"/>
          <w:b/>
          <w:sz w:val="24"/>
          <w:szCs w:val="24"/>
        </w:rPr>
        <w:t>“</w:t>
      </w:r>
      <w:r w:rsidRPr="00BC58DC">
        <w:rPr>
          <w:rFonts w:eastAsiaTheme="minorEastAsia"/>
          <w:b/>
          <w:sz w:val="24"/>
          <w:szCs w:val="24"/>
        </w:rPr>
        <w:t>买者自负</w:t>
      </w:r>
      <w:r w:rsidRPr="00BC58DC">
        <w:rPr>
          <w:rFonts w:eastAsiaTheme="minorEastAsia"/>
          <w:b/>
          <w:sz w:val="24"/>
          <w:szCs w:val="24"/>
        </w:rPr>
        <w:t>”</w:t>
      </w:r>
      <w:r w:rsidRPr="00BC58DC">
        <w:rPr>
          <w:rFonts w:eastAsiaTheme="minorEastAsia"/>
          <w:b/>
          <w:sz w:val="24"/>
          <w:szCs w:val="24"/>
        </w:rPr>
        <w:t>原则，在做出投资决策后，基金运营状况与基金净值变化引致的投资风险，由投资人自行负担。投资有风险，投资者在投资本基金之前，请仔细阅读本基金的招募说明书和基金合同，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3A6691" w:rsidRPr="004207B0" w:rsidRDefault="00BC58DC" w:rsidP="004D6E60">
      <w:pPr>
        <w:spacing w:line="360" w:lineRule="auto"/>
        <w:ind w:firstLineChars="200" w:firstLine="480"/>
        <w:rPr>
          <w:rFonts w:eastAsiaTheme="minorEastAsia"/>
          <w:sz w:val="24"/>
          <w:szCs w:val="24"/>
        </w:rPr>
      </w:pPr>
      <w:r w:rsidRPr="004207B0">
        <w:rPr>
          <w:rFonts w:eastAsiaTheme="minorEastAsia"/>
          <w:sz w:val="24"/>
          <w:szCs w:val="24"/>
        </w:rPr>
        <w:t>特此公告</w:t>
      </w:r>
    </w:p>
    <w:p w:rsidR="003A6691" w:rsidRPr="004207B0" w:rsidRDefault="00BC58DC" w:rsidP="004D6E60">
      <w:pPr>
        <w:spacing w:line="360" w:lineRule="auto"/>
        <w:ind w:firstLineChars="200" w:firstLine="480"/>
        <w:jc w:val="right"/>
        <w:rPr>
          <w:rFonts w:eastAsiaTheme="minorEastAsia"/>
          <w:sz w:val="24"/>
          <w:szCs w:val="24"/>
        </w:rPr>
      </w:pPr>
      <w:r w:rsidRPr="004207B0">
        <w:rPr>
          <w:rFonts w:eastAsiaTheme="minorEastAsia"/>
          <w:sz w:val="24"/>
          <w:szCs w:val="24"/>
        </w:rPr>
        <w:t xml:space="preserve">                                           </w:t>
      </w:r>
      <w:r w:rsidRPr="004207B0">
        <w:rPr>
          <w:rFonts w:eastAsiaTheme="minorEastAsia"/>
          <w:sz w:val="24"/>
          <w:szCs w:val="24"/>
        </w:rPr>
        <w:t>华夏基金管理有限公司</w:t>
      </w:r>
    </w:p>
    <w:p w:rsidR="003A6691" w:rsidRPr="004207B0" w:rsidRDefault="00BC58DC" w:rsidP="004D6E60">
      <w:pPr>
        <w:spacing w:line="360" w:lineRule="auto"/>
        <w:ind w:firstLineChars="200" w:firstLine="480"/>
        <w:jc w:val="right"/>
        <w:rPr>
          <w:rFonts w:eastAsiaTheme="minorEastAsia"/>
          <w:sz w:val="24"/>
          <w:szCs w:val="24"/>
        </w:rPr>
      </w:pPr>
      <w:r w:rsidRPr="004207B0">
        <w:rPr>
          <w:rFonts w:eastAsiaTheme="minorEastAsia"/>
          <w:sz w:val="24"/>
          <w:szCs w:val="24"/>
        </w:rPr>
        <w:t xml:space="preserve">                                           </w:t>
      </w:r>
      <w:r w:rsidRPr="004207B0">
        <w:rPr>
          <w:rFonts w:eastAsiaTheme="minorEastAsia"/>
          <w:sz w:val="24"/>
          <w:szCs w:val="24"/>
        </w:rPr>
        <w:t>二〇二四年四月九日</w:t>
      </w:r>
      <w:bookmarkEnd w:id="0"/>
    </w:p>
    <w:sectPr w:rsidR="003A6691" w:rsidRPr="004207B0" w:rsidSect="004D6E6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436" w:charSpace="250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93F" w:rsidRDefault="001A493F" w:rsidP="004207B0">
      <w:r>
        <w:separator/>
      </w:r>
    </w:p>
  </w:endnote>
  <w:endnote w:type="continuationSeparator" w:id="0">
    <w:p w:rsidR="001A493F" w:rsidRDefault="001A493F" w:rsidP="004207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60" w:rsidRDefault="004D6E6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60" w:rsidRDefault="004D6E6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60" w:rsidRDefault="004D6E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93F" w:rsidRDefault="001A493F" w:rsidP="004207B0">
      <w:r>
        <w:separator/>
      </w:r>
    </w:p>
  </w:footnote>
  <w:footnote w:type="continuationSeparator" w:id="0">
    <w:p w:rsidR="001A493F" w:rsidRDefault="001A493F" w:rsidP="00420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60" w:rsidRDefault="004D6E60" w:rsidP="004D6E6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60" w:rsidRDefault="004D6E60" w:rsidP="004D6E60">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60" w:rsidRDefault="004D6E6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66"/>
  <w:drawingGridVerticalSpacing w:val="218"/>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7FA"/>
    <w:rsid w:val="00014582"/>
    <w:rsid w:val="00020378"/>
    <w:rsid w:val="00041353"/>
    <w:rsid w:val="00044ACC"/>
    <w:rsid w:val="000746EF"/>
    <w:rsid w:val="000E2B3D"/>
    <w:rsid w:val="000E4CBF"/>
    <w:rsid w:val="001161A4"/>
    <w:rsid w:val="001169BB"/>
    <w:rsid w:val="00180DA3"/>
    <w:rsid w:val="001A3CA1"/>
    <w:rsid w:val="001A493F"/>
    <w:rsid w:val="001B4F9F"/>
    <w:rsid w:val="001E4CD3"/>
    <w:rsid w:val="00245724"/>
    <w:rsid w:val="00265B63"/>
    <w:rsid w:val="0028798D"/>
    <w:rsid w:val="002935EF"/>
    <w:rsid w:val="00297148"/>
    <w:rsid w:val="002C360B"/>
    <w:rsid w:val="002E26DF"/>
    <w:rsid w:val="002F7241"/>
    <w:rsid w:val="00327DA7"/>
    <w:rsid w:val="0033513C"/>
    <w:rsid w:val="003612CB"/>
    <w:rsid w:val="0036784E"/>
    <w:rsid w:val="00386A1F"/>
    <w:rsid w:val="003A6691"/>
    <w:rsid w:val="003F5735"/>
    <w:rsid w:val="004207B0"/>
    <w:rsid w:val="0048692B"/>
    <w:rsid w:val="004966BA"/>
    <w:rsid w:val="004D6346"/>
    <w:rsid w:val="004D6E60"/>
    <w:rsid w:val="004E2421"/>
    <w:rsid w:val="004F0521"/>
    <w:rsid w:val="004F51E8"/>
    <w:rsid w:val="00540343"/>
    <w:rsid w:val="00564298"/>
    <w:rsid w:val="005F1AF0"/>
    <w:rsid w:val="00614995"/>
    <w:rsid w:val="00625C84"/>
    <w:rsid w:val="00646522"/>
    <w:rsid w:val="00676A52"/>
    <w:rsid w:val="00727899"/>
    <w:rsid w:val="00753DDE"/>
    <w:rsid w:val="00770DB7"/>
    <w:rsid w:val="007B1D31"/>
    <w:rsid w:val="0082571C"/>
    <w:rsid w:val="00827D4A"/>
    <w:rsid w:val="0083445C"/>
    <w:rsid w:val="00841AFE"/>
    <w:rsid w:val="008472DB"/>
    <w:rsid w:val="00853A75"/>
    <w:rsid w:val="00875F57"/>
    <w:rsid w:val="008D3261"/>
    <w:rsid w:val="008F225D"/>
    <w:rsid w:val="00932FF1"/>
    <w:rsid w:val="009465C9"/>
    <w:rsid w:val="00956B0F"/>
    <w:rsid w:val="009A0B67"/>
    <w:rsid w:val="009C5858"/>
    <w:rsid w:val="00A516C4"/>
    <w:rsid w:val="00AA75F1"/>
    <w:rsid w:val="00B101F7"/>
    <w:rsid w:val="00B13229"/>
    <w:rsid w:val="00B243AE"/>
    <w:rsid w:val="00B40A5A"/>
    <w:rsid w:val="00B5053A"/>
    <w:rsid w:val="00BA6967"/>
    <w:rsid w:val="00BC58DC"/>
    <w:rsid w:val="00BD601B"/>
    <w:rsid w:val="00BD6D93"/>
    <w:rsid w:val="00C379C6"/>
    <w:rsid w:val="00C50193"/>
    <w:rsid w:val="00C7534F"/>
    <w:rsid w:val="00D100C9"/>
    <w:rsid w:val="00D114B7"/>
    <w:rsid w:val="00D24916"/>
    <w:rsid w:val="00D327FA"/>
    <w:rsid w:val="00D33E60"/>
    <w:rsid w:val="00D82740"/>
    <w:rsid w:val="00DE5E75"/>
    <w:rsid w:val="00E72255"/>
    <w:rsid w:val="00E77D74"/>
    <w:rsid w:val="00EE1823"/>
    <w:rsid w:val="00F13336"/>
    <w:rsid w:val="00F14414"/>
    <w:rsid w:val="00F5252D"/>
    <w:rsid w:val="00F64447"/>
    <w:rsid w:val="00F875F9"/>
    <w:rsid w:val="00F95610"/>
    <w:rsid w:val="00FD7428"/>
    <w:rsid w:val="0AEE6F36"/>
    <w:rsid w:val="0DFE101B"/>
    <w:rsid w:val="12C97107"/>
    <w:rsid w:val="3DE17124"/>
    <w:rsid w:val="3EBD60A8"/>
    <w:rsid w:val="3FB916BC"/>
    <w:rsid w:val="43CB09D5"/>
    <w:rsid w:val="472569DE"/>
    <w:rsid w:val="50A6327B"/>
    <w:rsid w:val="51E75436"/>
    <w:rsid w:val="5B72446D"/>
    <w:rsid w:val="602B2F21"/>
    <w:rsid w:val="6B726F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C6"/>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C379C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C379C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379C6"/>
    <w:rPr>
      <w:sz w:val="18"/>
      <w:szCs w:val="18"/>
    </w:rPr>
  </w:style>
  <w:style w:type="paragraph" w:styleId="a4">
    <w:name w:val="footer"/>
    <w:basedOn w:val="a"/>
    <w:link w:val="Char0"/>
    <w:uiPriority w:val="99"/>
    <w:unhideWhenUsed/>
    <w:qFormat/>
    <w:rsid w:val="00C379C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379C6"/>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qFormat/>
    <w:rsid w:val="00C379C6"/>
    <w:pPr>
      <w:snapToGrid w:val="0"/>
      <w:jc w:val="left"/>
    </w:pPr>
    <w:rPr>
      <w:rFonts w:eastAsia="宋体"/>
      <w:sz w:val="18"/>
    </w:rPr>
  </w:style>
  <w:style w:type="character" w:styleId="a7">
    <w:name w:val="footnote reference"/>
    <w:basedOn w:val="a0"/>
    <w:qFormat/>
    <w:rsid w:val="00C379C6"/>
    <w:rPr>
      <w:vertAlign w:val="superscript"/>
    </w:rPr>
  </w:style>
  <w:style w:type="character" w:customStyle="1" w:styleId="1Char">
    <w:name w:val="标题 1 Char"/>
    <w:basedOn w:val="a0"/>
    <w:link w:val="1"/>
    <w:qFormat/>
    <w:rsid w:val="00C379C6"/>
    <w:rPr>
      <w:rFonts w:ascii="Times New Roman" w:eastAsia="宋体" w:hAnsi="Times New Roman" w:cs="Times New Roman"/>
      <w:b/>
      <w:bCs/>
      <w:kern w:val="44"/>
      <w:sz w:val="44"/>
      <w:szCs w:val="44"/>
    </w:rPr>
  </w:style>
  <w:style w:type="character" w:customStyle="1" w:styleId="2Char">
    <w:name w:val="标题 2 Char"/>
    <w:basedOn w:val="a0"/>
    <w:link w:val="2"/>
    <w:qFormat/>
    <w:rsid w:val="00C379C6"/>
    <w:rPr>
      <w:rFonts w:ascii="Arial" w:eastAsia="黑体" w:hAnsi="Arial" w:cs="Times New Roman"/>
      <w:b/>
      <w:bCs/>
      <w:sz w:val="32"/>
      <w:szCs w:val="32"/>
    </w:rPr>
  </w:style>
  <w:style w:type="character" w:customStyle="1" w:styleId="Char2">
    <w:name w:val="脚注文本 Char"/>
    <w:basedOn w:val="a0"/>
    <w:link w:val="a6"/>
    <w:qFormat/>
    <w:rsid w:val="00C379C6"/>
    <w:rPr>
      <w:rFonts w:ascii="Times New Roman" w:eastAsia="宋体" w:hAnsi="Times New Roman" w:cs="Times New Roman"/>
      <w:sz w:val="18"/>
      <w:szCs w:val="20"/>
    </w:rPr>
  </w:style>
  <w:style w:type="character" w:customStyle="1" w:styleId="Char">
    <w:name w:val="批注框文本 Char"/>
    <w:basedOn w:val="a0"/>
    <w:link w:val="a3"/>
    <w:uiPriority w:val="99"/>
    <w:semiHidden/>
    <w:qFormat/>
    <w:rsid w:val="00C379C6"/>
    <w:rPr>
      <w:rFonts w:ascii="Times New Roman" w:eastAsia="方正仿宋简体" w:hAnsi="Times New Roman" w:cs="Times New Roman"/>
      <w:sz w:val="18"/>
      <w:szCs w:val="18"/>
    </w:rPr>
  </w:style>
  <w:style w:type="character" w:customStyle="1" w:styleId="Char1">
    <w:name w:val="页眉 Char"/>
    <w:basedOn w:val="a0"/>
    <w:link w:val="a5"/>
    <w:uiPriority w:val="99"/>
    <w:qFormat/>
    <w:rsid w:val="00C379C6"/>
    <w:rPr>
      <w:rFonts w:ascii="Times New Roman" w:eastAsia="方正仿宋简体" w:hAnsi="Times New Roman" w:cs="Times New Roman"/>
      <w:sz w:val="18"/>
      <w:szCs w:val="18"/>
    </w:rPr>
  </w:style>
  <w:style w:type="character" w:customStyle="1" w:styleId="Char0">
    <w:name w:val="页脚 Char"/>
    <w:basedOn w:val="a0"/>
    <w:link w:val="a4"/>
    <w:uiPriority w:val="99"/>
    <w:qFormat/>
    <w:rsid w:val="00C379C6"/>
    <w:rPr>
      <w:rFonts w:ascii="Times New Roman" w:eastAsia="方正仿宋简体" w:hAnsi="Times New Roman" w:cs="Times New Roman"/>
      <w:sz w:val="18"/>
      <w:szCs w:val="18"/>
    </w:rPr>
  </w:style>
  <w:style w:type="paragraph" w:styleId="a8">
    <w:name w:val="Revision"/>
    <w:hidden/>
    <w:uiPriority w:val="99"/>
    <w:semiHidden/>
    <w:rsid w:val="00676A52"/>
    <w:rPr>
      <w:rFonts w:ascii="Times New Roman" w:eastAsia="方正仿宋简体" w:hAnsi="Times New Roman" w:cs="Times New Roman"/>
      <w:kern w:val="2"/>
      <w:sz w:val="32"/>
    </w:rPr>
  </w:style>
</w:styles>
</file>

<file path=word/webSettings.xml><?xml version="1.0" encoding="utf-8"?>
<w:webSettings xmlns:r="http://schemas.openxmlformats.org/officeDocument/2006/relationships" xmlns:w="http://schemas.openxmlformats.org/wordprocessingml/2006/main">
  <w:divs>
    <w:div w:id="582682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4</DocSecurity>
  <Lines>9</Lines>
  <Paragraphs>2</Paragraphs>
  <ScaleCrop>false</ScaleCrop>
  <Company>微软中国</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cp:lastPrinted>2024-04-08T10:17:00Z</cp:lastPrinted>
  <dcterms:created xsi:type="dcterms:W3CDTF">2024-04-08T16:01:00Z</dcterms:created>
  <dcterms:modified xsi:type="dcterms:W3CDTF">2024-04-08T16:01:00Z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11B385D90C244CEF9BFB3E9EBE5BF272</vt:lpwstr>
  </property>
</Properties>
</file>