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A29F9" w:rsidRDefault="009A29F9">
      <w:pPr>
        <w:pStyle w:val="XBRL2"/>
        <w:spacing w:before="156"/>
        <w:rPr>
          <w:lang w:eastAsia="zh-CN"/>
        </w:rPr>
      </w:pPr>
      <w:bookmarkStart w:id="0" w:name="_Toc510201001"/>
      <w:bookmarkEnd w:id="0"/>
      <w:r>
        <w:rPr>
          <w:lang w:eastAsia="zh-CN"/>
        </w:rPr>
        <w:t xml:space="preserve">　</w:t>
      </w:r>
      <w:r>
        <w:rPr>
          <w:lang w:eastAsia="zh-CN"/>
        </w:rPr>
        <w:t xml:space="preserve"> </w:t>
      </w:r>
    </w:p>
    <w:p w:rsidR="009A29F9" w:rsidRDefault="009A29F9">
      <w:pPr>
        <w:jc w:val="center"/>
      </w:pPr>
      <w:r>
        <w:rPr>
          <w:rFonts w:cs="Times New Roman" w:hint="eastAsia"/>
          <w:b/>
          <w:sz w:val="48"/>
          <w:szCs w:val="48"/>
        </w:rPr>
        <w:t>银河银信添利债券型证券投资基金暂停大额申购、定期定额投资及转换转入业务的公告</w:t>
      </w:r>
    </w:p>
    <w:p w:rsidR="009A29F9" w:rsidRDefault="009A29F9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9A29F9" w:rsidRDefault="009A29F9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9A29F9" w:rsidRDefault="009A29F9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9A29F9" w:rsidRDefault="009A29F9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9A29F9" w:rsidRDefault="009A29F9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9A29F9" w:rsidRDefault="009A29F9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9A29F9" w:rsidRDefault="009A29F9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9A29F9" w:rsidRDefault="009A29F9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9A29F9" w:rsidRDefault="009A29F9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9A29F9" w:rsidRDefault="009A29F9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9A29F9" w:rsidRDefault="009A29F9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9A29F9" w:rsidRDefault="009A29F9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9A29F9" w:rsidRDefault="009A29F9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9A29F9" w:rsidRDefault="009A29F9">
      <w:pPr>
        <w:spacing w:line="360" w:lineRule="auto"/>
        <w:jc w:val="center"/>
        <w:rPr>
          <w:rFonts w:hint="eastAsia"/>
        </w:rPr>
      </w:pPr>
      <w:r>
        <w:rPr>
          <w:rFonts w:hint="eastAsia"/>
          <w:b/>
          <w:bCs/>
          <w:sz w:val="24"/>
          <w:szCs w:val="30"/>
        </w:rPr>
        <w:t>公告送出日期：2024年4月8日</w:t>
      </w:r>
    </w:p>
    <w:p w:rsidR="009A29F9" w:rsidRDefault="009A29F9">
      <w:pPr>
        <w:pStyle w:val="XBRLTitle1"/>
        <w:spacing w:before="156"/>
        <w:ind w:left="425"/>
        <w:jc w:val="left"/>
        <w:rPr>
          <w:rFonts w:hint="eastAsia"/>
        </w:rPr>
      </w:pPr>
      <w:r>
        <w:rPr>
          <w:rFonts w:hint="eastAsia"/>
          <w:b w:val="0"/>
          <w:bCs w:val="0"/>
          <w:color w:val="404040"/>
          <w:kern w:val="0"/>
        </w:rPr>
        <w:br w:type="page"/>
      </w:r>
      <w:bookmarkStart w:id="1" w:name="_Toc34322059"/>
      <w:bookmarkStart w:id="2" w:name="_Toc513295892"/>
      <w:bookmarkStart w:id="3" w:name="_Toc513295846"/>
      <w:bookmarkStart w:id="4" w:name="_Toc490050000"/>
      <w:bookmarkStart w:id="5" w:name="_Toc438646451"/>
      <w:bookmarkStart w:id="6" w:name="_Toc481075046"/>
      <w:bookmarkStart w:id="7" w:name="_Toc512519480"/>
      <w:bookmarkStart w:id="8" w:name="_Toc17897936"/>
      <w:bookmarkStart w:id="9" w:name="_Toc17898178"/>
      <w:bookmarkStart w:id="10" w:name="_Toc194311890"/>
      <w:bookmarkStart w:id="11" w:name="m01_01"/>
      <w:bookmarkStart w:id="12" w:name="m101"/>
      <w:r>
        <w:rPr>
          <w:rFonts w:hint="eastAsia"/>
          <w:szCs w:val="24"/>
        </w:rPr>
        <w:t>公告基本信息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>
        <w:rPr>
          <w:rFonts w:hint="eastAsia"/>
          <w:szCs w:val="24"/>
        </w:rPr>
        <w:t xml:space="preserve"> </w:t>
      </w:r>
      <w:bookmarkEnd w:id="10"/>
      <w:bookmarkEnd w:id="11"/>
      <w:bookmarkEnd w:id="12"/>
    </w:p>
    <w:tbl>
      <w:tblPr>
        <w:tblW w:w="8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349"/>
        <w:gridCol w:w="1196"/>
        <w:gridCol w:w="2965"/>
        <w:gridCol w:w="2965"/>
      </w:tblGrid>
      <w:tr w:rsidR="009A29F9" w:rsidTr="00881A75">
        <w:trPr>
          <w:divId w:val="1123424156"/>
        </w:trPr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29F9" w:rsidRDefault="009A29F9">
            <w:pPr>
              <w:rPr>
                <w:rFonts w:hint="eastAsia"/>
              </w:rPr>
            </w:pPr>
            <w:r w:rsidRPr="00881A75">
              <w:rPr>
                <w:rFonts w:ascii="Calibri" w:hAnsi="Calibri" w:hint="eastAsia"/>
              </w:rPr>
              <w:t>基金名称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29F9" w:rsidRDefault="009A29F9">
            <w:pPr>
              <w:rPr>
                <w:rFonts w:hint="eastAsia"/>
              </w:rPr>
            </w:pPr>
            <w:r w:rsidRPr="00881A75">
              <w:rPr>
                <w:rFonts w:hint="eastAsia"/>
              </w:rPr>
              <w:t>银河银信添利债券型证券投资基金</w:t>
            </w:r>
          </w:p>
        </w:tc>
      </w:tr>
      <w:tr w:rsidR="009A29F9" w:rsidTr="00881A75">
        <w:trPr>
          <w:divId w:val="1123424156"/>
        </w:trPr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29F9" w:rsidRDefault="009A29F9">
            <w:pPr>
              <w:rPr>
                <w:rFonts w:hint="eastAsia"/>
              </w:rPr>
            </w:pPr>
            <w:r w:rsidRPr="00881A75">
              <w:rPr>
                <w:rFonts w:hint="eastAsia"/>
              </w:rPr>
              <w:t xml:space="preserve">基金简称 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29F9" w:rsidRDefault="009A29F9">
            <w:pPr>
              <w:rPr>
                <w:rFonts w:hint="eastAsia"/>
              </w:rPr>
            </w:pPr>
            <w:r w:rsidRPr="00881A75">
              <w:rPr>
                <w:rFonts w:hint="eastAsia"/>
              </w:rPr>
              <w:t>银河银信添利债券</w:t>
            </w:r>
          </w:p>
        </w:tc>
      </w:tr>
      <w:tr w:rsidR="009A29F9" w:rsidTr="00881A75">
        <w:trPr>
          <w:divId w:val="1123424156"/>
        </w:trPr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29F9" w:rsidRDefault="009A29F9">
            <w:pPr>
              <w:rPr>
                <w:rFonts w:hint="eastAsia"/>
              </w:rPr>
            </w:pPr>
            <w:r w:rsidRPr="00881A75">
              <w:rPr>
                <w:rFonts w:hint="eastAsia"/>
              </w:rPr>
              <w:t xml:space="preserve">基金主代码 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29F9" w:rsidRDefault="009A29F9">
            <w:pPr>
              <w:rPr>
                <w:rFonts w:hint="eastAsia"/>
              </w:rPr>
            </w:pPr>
            <w:r w:rsidRPr="00881A75">
              <w:rPr>
                <w:rFonts w:hint="eastAsia"/>
              </w:rPr>
              <w:t>519666</w:t>
            </w:r>
          </w:p>
        </w:tc>
      </w:tr>
      <w:tr w:rsidR="009A29F9" w:rsidTr="00881A75">
        <w:trPr>
          <w:divId w:val="1123424156"/>
        </w:trPr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29F9" w:rsidRDefault="009A29F9">
            <w:pPr>
              <w:rPr>
                <w:rFonts w:hint="eastAsia"/>
              </w:rPr>
            </w:pPr>
            <w:r w:rsidRPr="00881A75">
              <w:rPr>
                <w:rFonts w:ascii="Calibri" w:hAnsi="Calibri" w:hint="eastAsia"/>
              </w:rPr>
              <w:t>基金管理人名称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29F9" w:rsidRDefault="009A29F9">
            <w:pPr>
              <w:rPr>
                <w:rFonts w:hint="eastAsia"/>
              </w:rPr>
            </w:pPr>
            <w:r w:rsidRPr="00881A75">
              <w:rPr>
                <w:rFonts w:hint="eastAsia"/>
              </w:rPr>
              <w:t>银河基金管理有限公司</w:t>
            </w:r>
          </w:p>
        </w:tc>
      </w:tr>
      <w:tr w:rsidR="009A29F9" w:rsidTr="00881A75">
        <w:trPr>
          <w:divId w:val="1123424156"/>
        </w:trPr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29F9" w:rsidRDefault="009A29F9">
            <w:pPr>
              <w:rPr>
                <w:rFonts w:hint="eastAsia"/>
              </w:rPr>
            </w:pPr>
            <w:r w:rsidRPr="00881A75">
              <w:rPr>
                <w:rFonts w:ascii="Calibri" w:hAnsi="Calibri" w:hint="eastAsia"/>
              </w:rPr>
              <w:t>公告依据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29F9" w:rsidRDefault="009A29F9">
            <w:pPr>
              <w:rPr>
                <w:rFonts w:hint="eastAsia"/>
              </w:rPr>
            </w:pPr>
            <w:r w:rsidRPr="00881A75">
              <w:rPr>
                <w:rFonts w:hint="eastAsia"/>
              </w:rPr>
              <w:t>《银河银信添利债券型证券投资基金基金合同》、《银河银信添利债券型证券投资基金招募说明书》及更新</w:t>
            </w:r>
          </w:p>
        </w:tc>
      </w:tr>
      <w:tr w:rsidR="009A29F9" w:rsidTr="00881A75">
        <w:trPr>
          <w:divId w:val="1123424156"/>
        </w:trPr>
        <w:tc>
          <w:tcPr>
            <w:tcW w:w="2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29F9" w:rsidRDefault="009A29F9">
            <w:pPr>
              <w:rPr>
                <w:rFonts w:hint="eastAsia"/>
              </w:rPr>
            </w:pPr>
            <w:r w:rsidRPr="00881A75">
              <w:rPr>
                <w:rFonts w:ascii="Calibri" w:hAnsi="Calibri" w:hint="eastAsia"/>
              </w:rPr>
              <w:t>暂停相关业务的起始日、金额及原因说明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29F9" w:rsidRDefault="009A29F9">
            <w:pPr>
              <w:rPr>
                <w:rFonts w:hint="eastAsia"/>
              </w:rPr>
            </w:pPr>
            <w:r w:rsidRPr="00881A75">
              <w:rPr>
                <w:rFonts w:ascii="Calibri" w:hAnsi="Calibri" w:hint="eastAsia"/>
              </w:rPr>
              <w:t>暂停大额申购起始日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29F9" w:rsidRDefault="009A29F9">
            <w:pPr>
              <w:rPr>
                <w:rFonts w:hint="eastAsia"/>
              </w:rPr>
            </w:pPr>
            <w:r w:rsidRPr="00881A75">
              <w:rPr>
                <w:rFonts w:hint="eastAsia"/>
              </w:rPr>
              <w:t>2024年4月8日</w:t>
            </w:r>
          </w:p>
        </w:tc>
      </w:tr>
      <w:tr w:rsidR="009A29F9" w:rsidTr="00881A75">
        <w:trPr>
          <w:divId w:val="1123424156"/>
        </w:trPr>
        <w:tc>
          <w:tcPr>
            <w:tcW w:w="3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9F9" w:rsidRDefault="009A29F9">
            <w:pPr>
              <w:widowControl/>
              <w:jc w:val="left"/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29F9" w:rsidRDefault="009A29F9">
            <w:pPr>
              <w:rPr>
                <w:rFonts w:hint="eastAsia"/>
              </w:rPr>
            </w:pPr>
            <w:r w:rsidRPr="00881A75">
              <w:rPr>
                <w:rFonts w:ascii="Calibri" w:hAnsi="Calibri" w:hint="eastAsia"/>
              </w:rPr>
              <w:t>暂停大额转换转入起始日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29F9" w:rsidRDefault="009A29F9">
            <w:pPr>
              <w:rPr>
                <w:rFonts w:hint="eastAsia"/>
              </w:rPr>
            </w:pPr>
            <w:r w:rsidRPr="00881A75">
              <w:rPr>
                <w:rFonts w:hint="eastAsia"/>
              </w:rPr>
              <w:t>2024年4月8日</w:t>
            </w:r>
          </w:p>
        </w:tc>
      </w:tr>
      <w:tr w:rsidR="009A29F9" w:rsidTr="00881A75">
        <w:trPr>
          <w:divId w:val="1123424156"/>
        </w:trPr>
        <w:tc>
          <w:tcPr>
            <w:tcW w:w="3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9F9" w:rsidRDefault="009A29F9">
            <w:pPr>
              <w:widowControl/>
              <w:jc w:val="left"/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29F9" w:rsidRDefault="009A29F9">
            <w:pPr>
              <w:rPr>
                <w:rFonts w:hint="eastAsia"/>
              </w:rPr>
            </w:pPr>
            <w:r w:rsidRPr="00881A75">
              <w:rPr>
                <w:rFonts w:ascii="Calibri" w:hAnsi="Calibri" w:hint="eastAsia"/>
              </w:rPr>
              <w:t>暂停定期定额投资起始日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29F9" w:rsidRDefault="009A29F9">
            <w:pPr>
              <w:rPr>
                <w:rFonts w:hint="eastAsia"/>
              </w:rPr>
            </w:pPr>
            <w:r w:rsidRPr="00881A75">
              <w:rPr>
                <w:rFonts w:hint="eastAsia"/>
              </w:rPr>
              <w:t>2024年4月8日</w:t>
            </w:r>
          </w:p>
        </w:tc>
      </w:tr>
      <w:tr w:rsidR="009A29F9" w:rsidTr="00881A75">
        <w:trPr>
          <w:divId w:val="1123424156"/>
        </w:trPr>
        <w:tc>
          <w:tcPr>
            <w:tcW w:w="3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9F9" w:rsidRDefault="009A29F9">
            <w:pPr>
              <w:widowControl/>
              <w:jc w:val="left"/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29F9" w:rsidRDefault="009A29F9">
            <w:pPr>
              <w:rPr>
                <w:rFonts w:hint="eastAsia"/>
              </w:rPr>
            </w:pPr>
            <w:r w:rsidRPr="00881A75">
              <w:rPr>
                <w:rFonts w:ascii="Calibri" w:hAnsi="Calibri" w:hint="eastAsia"/>
              </w:rPr>
              <w:t>限制申购金额（单位：人民币元</w:t>
            </w:r>
            <w:r>
              <w:rPr>
                <w:rFonts w:hint="eastAsia"/>
              </w:rPr>
              <w:t xml:space="preserve"> </w:t>
            </w:r>
            <w:r w:rsidRPr="00881A75">
              <w:rPr>
                <w:rFonts w:ascii="Calibri" w:hAnsi="Calibri" w:hint="eastAsia"/>
              </w:rPr>
              <w:t>）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29F9" w:rsidRDefault="009A29F9">
            <w:pPr>
              <w:rPr>
                <w:rFonts w:hint="eastAsia"/>
              </w:rPr>
            </w:pPr>
            <w:r w:rsidRPr="00881A75">
              <w:rPr>
                <w:rFonts w:hint="eastAsia"/>
              </w:rPr>
              <w:t>1,000,000.00</w:t>
            </w:r>
          </w:p>
        </w:tc>
      </w:tr>
      <w:tr w:rsidR="009A29F9" w:rsidTr="00881A75">
        <w:trPr>
          <w:divId w:val="1123424156"/>
        </w:trPr>
        <w:tc>
          <w:tcPr>
            <w:tcW w:w="3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9F9" w:rsidRDefault="009A29F9">
            <w:pPr>
              <w:widowControl/>
              <w:jc w:val="left"/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29F9" w:rsidRDefault="009A29F9">
            <w:pPr>
              <w:rPr>
                <w:rFonts w:hint="eastAsia"/>
              </w:rPr>
            </w:pPr>
            <w:r w:rsidRPr="00881A75">
              <w:rPr>
                <w:rFonts w:ascii="Calibri" w:hAnsi="Calibri" w:hint="eastAsia"/>
              </w:rPr>
              <w:t>限制转换转入金额（单位：人民币元</w:t>
            </w:r>
            <w:r>
              <w:rPr>
                <w:rFonts w:hint="eastAsia"/>
              </w:rPr>
              <w:t xml:space="preserve"> </w:t>
            </w:r>
            <w:r w:rsidRPr="00881A75">
              <w:rPr>
                <w:rFonts w:ascii="Calibri" w:hAnsi="Calibri" w:hint="eastAsia"/>
              </w:rPr>
              <w:t>）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29F9" w:rsidRDefault="009A29F9">
            <w:pPr>
              <w:rPr>
                <w:rFonts w:hint="eastAsia"/>
              </w:rPr>
            </w:pPr>
            <w:r w:rsidRPr="00881A75">
              <w:rPr>
                <w:rFonts w:hint="eastAsia"/>
              </w:rPr>
              <w:t>1,000,000.00</w:t>
            </w:r>
          </w:p>
        </w:tc>
      </w:tr>
      <w:tr w:rsidR="009A29F9" w:rsidTr="00881A75">
        <w:trPr>
          <w:divId w:val="1123424156"/>
        </w:trPr>
        <w:tc>
          <w:tcPr>
            <w:tcW w:w="3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9F9" w:rsidRDefault="009A29F9">
            <w:pPr>
              <w:widowControl/>
              <w:jc w:val="left"/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29F9" w:rsidRDefault="009A29F9">
            <w:pPr>
              <w:rPr>
                <w:rFonts w:hint="eastAsia"/>
              </w:rPr>
            </w:pPr>
            <w:r w:rsidRPr="00881A75">
              <w:rPr>
                <w:rFonts w:ascii="Calibri" w:hAnsi="Calibri" w:hint="eastAsia"/>
              </w:rPr>
              <w:t>限制定期定额投资金额（单位：人民币元</w:t>
            </w:r>
            <w:r w:rsidRPr="00881A75">
              <w:rPr>
                <w:rFonts w:ascii="Calibri" w:hAnsi="Calibri" w:hint="eastAsia"/>
              </w:rPr>
              <w:t xml:space="preserve"> </w:t>
            </w:r>
            <w:r w:rsidRPr="00881A75">
              <w:rPr>
                <w:rFonts w:ascii="Calibri" w:hAnsi="Calibri" w:hint="eastAsia"/>
              </w:rPr>
              <w:t>）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29F9" w:rsidRDefault="009A29F9">
            <w:pPr>
              <w:rPr>
                <w:rFonts w:hint="eastAsia"/>
              </w:rPr>
            </w:pPr>
            <w:r w:rsidRPr="00881A75">
              <w:rPr>
                <w:rFonts w:hint="eastAsia"/>
              </w:rPr>
              <w:t>1,000,000.00</w:t>
            </w:r>
          </w:p>
        </w:tc>
      </w:tr>
      <w:tr w:rsidR="009A29F9" w:rsidTr="00881A75">
        <w:trPr>
          <w:divId w:val="1123424156"/>
        </w:trPr>
        <w:tc>
          <w:tcPr>
            <w:tcW w:w="3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9F9" w:rsidRDefault="009A29F9">
            <w:pPr>
              <w:widowControl/>
              <w:jc w:val="left"/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29F9" w:rsidRDefault="009A29F9">
            <w:pPr>
              <w:rPr>
                <w:rFonts w:hint="eastAsia"/>
              </w:rPr>
            </w:pPr>
            <w:r w:rsidRPr="00881A75">
              <w:rPr>
                <w:rFonts w:ascii="Calibri" w:hAnsi="Calibri" w:hint="eastAsia"/>
              </w:rPr>
              <w:t>暂停大额申购、大额转换转入、定期定额投资的原因说明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outset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29F9" w:rsidRDefault="009A29F9">
            <w:pPr>
              <w:rPr>
                <w:rFonts w:hint="eastAsia"/>
              </w:rPr>
            </w:pPr>
            <w:r w:rsidRPr="00881A75">
              <w:rPr>
                <w:rFonts w:hint="eastAsia"/>
              </w:rPr>
              <w:t>为维护现有基金份额持有人利益,保护基金的平稳运行</w:t>
            </w:r>
          </w:p>
        </w:tc>
      </w:tr>
      <w:tr w:rsidR="009A29F9" w:rsidTr="00881A75">
        <w:trPr>
          <w:divId w:val="1123424156"/>
        </w:trPr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29F9" w:rsidRDefault="009A29F9">
            <w:pPr>
              <w:rPr>
                <w:rFonts w:hint="eastAsia"/>
              </w:rPr>
            </w:pPr>
            <w:r w:rsidRPr="00881A75">
              <w:rPr>
                <w:rFonts w:ascii="Calibri" w:hAnsi="Calibri" w:hint="eastAsia"/>
              </w:rPr>
              <w:t>下属分级基金的基金简称</w:t>
            </w:r>
          </w:p>
        </w:tc>
        <w:tc>
          <w:tcPr>
            <w:tcW w:w="4680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9A29F9" w:rsidRDefault="009A29F9">
            <w:pPr>
              <w:rPr>
                <w:rFonts w:hint="eastAsia"/>
              </w:rPr>
            </w:pPr>
            <w:r w:rsidRPr="00881A75">
              <w:rPr>
                <w:rFonts w:hint="eastAsia"/>
              </w:rPr>
              <w:t>银河银信添利债券A</w:t>
            </w:r>
          </w:p>
        </w:tc>
        <w:tc>
          <w:tcPr>
            <w:tcW w:w="4680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9A29F9" w:rsidRDefault="009A29F9">
            <w:pPr>
              <w:rPr>
                <w:rFonts w:hint="eastAsia"/>
              </w:rPr>
            </w:pPr>
            <w:r w:rsidRPr="00881A75">
              <w:rPr>
                <w:rFonts w:hint="eastAsia"/>
              </w:rPr>
              <w:t>银河银信添利债券B</w:t>
            </w:r>
          </w:p>
        </w:tc>
      </w:tr>
      <w:tr w:rsidR="009A29F9" w:rsidTr="00881A75">
        <w:trPr>
          <w:divId w:val="1123424156"/>
        </w:trPr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29F9" w:rsidRDefault="009A29F9">
            <w:pPr>
              <w:rPr>
                <w:rFonts w:hint="eastAsia"/>
              </w:rPr>
            </w:pPr>
            <w:r w:rsidRPr="00881A75">
              <w:rPr>
                <w:rFonts w:ascii="Calibri" w:hAnsi="Calibri" w:hint="eastAsia"/>
              </w:rPr>
              <w:t>下属分级基金的交易代码</w:t>
            </w:r>
          </w:p>
        </w:tc>
        <w:tc>
          <w:tcPr>
            <w:tcW w:w="4680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9A29F9" w:rsidRDefault="009A29F9">
            <w:pPr>
              <w:rPr>
                <w:rFonts w:hint="eastAsia"/>
              </w:rPr>
            </w:pPr>
            <w:r w:rsidRPr="00881A75">
              <w:rPr>
                <w:rFonts w:hint="eastAsia"/>
              </w:rPr>
              <w:t>519667</w:t>
            </w:r>
          </w:p>
        </w:tc>
        <w:tc>
          <w:tcPr>
            <w:tcW w:w="4680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9A29F9" w:rsidRDefault="009A29F9">
            <w:pPr>
              <w:rPr>
                <w:rFonts w:hint="eastAsia"/>
              </w:rPr>
            </w:pPr>
            <w:r w:rsidRPr="00881A75">
              <w:rPr>
                <w:rFonts w:hint="eastAsia"/>
              </w:rPr>
              <w:t>519666</w:t>
            </w:r>
          </w:p>
        </w:tc>
      </w:tr>
      <w:tr w:rsidR="009A29F9" w:rsidTr="00881A75">
        <w:trPr>
          <w:divId w:val="1123424156"/>
        </w:trPr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29F9" w:rsidRDefault="009A29F9">
            <w:pPr>
              <w:rPr>
                <w:rFonts w:hint="eastAsia"/>
              </w:rPr>
            </w:pPr>
            <w:r w:rsidRPr="00881A75">
              <w:rPr>
                <w:rFonts w:ascii="Calibri" w:hAnsi="Calibri" w:hint="eastAsia"/>
              </w:rPr>
              <w:t>该分级基金是否暂停大额申购、大额转换转入、定期定额投资</w:t>
            </w:r>
          </w:p>
        </w:tc>
        <w:tc>
          <w:tcPr>
            <w:tcW w:w="4680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9A29F9" w:rsidRDefault="009A29F9">
            <w:pPr>
              <w:rPr>
                <w:rFonts w:hint="eastAsia"/>
              </w:rPr>
            </w:pPr>
            <w:r w:rsidRPr="00881A75">
              <w:rPr>
                <w:rFonts w:hint="eastAsia"/>
              </w:rPr>
              <w:t>是</w:t>
            </w:r>
          </w:p>
        </w:tc>
        <w:tc>
          <w:tcPr>
            <w:tcW w:w="4680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9A29F9" w:rsidRDefault="009A29F9">
            <w:pPr>
              <w:rPr>
                <w:rFonts w:hint="eastAsia"/>
              </w:rPr>
            </w:pPr>
            <w:r w:rsidRPr="00881A75">
              <w:rPr>
                <w:rFonts w:hint="eastAsia"/>
              </w:rPr>
              <w:t>是</w:t>
            </w:r>
          </w:p>
        </w:tc>
      </w:tr>
    </w:tbl>
    <w:p w:rsidR="009A29F9" w:rsidRDefault="009A29F9">
      <w:pPr>
        <w:adjustRightInd w:val="0"/>
        <w:snapToGrid w:val="0"/>
        <w:spacing w:line="360" w:lineRule="auto"/>
        <w:jc w:val="left"/>
        <w:divId w:val="1123424156"/>
        <w:rPr>
          <w:rFonts w:hint="eastAsia"/>
        </w:rPr>
      </w:pPr>
      <w:r>
        <w:rPr>
          <w:rFonts w:hint="eastAsia"/>
        </w:rPr>
        <w:t>注:</w:t>
      </w:r>
      <w:r>
        <w:rPr>
          <w:rFonts w:hint="eastAsia"/>
          <w:szCs w:val="24"/>
          <w:lang/>
        </w:rPr>
        <w:t>（1）银河基金管理有限公司（以下简称“本公司”）决定自2024年4月8日起限制银河银信添利债券型证券投资基金（以下简称“本基金”）申购、转换转入、定期定额投资业务的金额；即如单日单个基金账户对本基金A类、B类申购、转换转入、定期定额申请的日累计金额大于100万元，则100万元确认申购成功，超过100万元（不含）金额的部分将确认失败；如单日单个基金账户多笔累计申购金额大于100万元，按申请金额从大到小排序，本公司将逐笔累加至100万元的申请确认成功，其余超出部分的申请金额本公司有权确认失败。</w:t>
      </w:r>
      <w:r>
        <w:rPr>
          <w:rFonts w:hint="eastAsia"/>
          <w:szCs w:val="24"/>
          <w:lang/>
        </w:rPr>
        <w:br/>
        <w:t xml:space="preserve">　　（2）在本基金限制大额申购、定期定额投资及转换转入业务期间，本公司正常办理本基金的赎回等业务。</w:t>
      </w:r>
      <w:r>
        <w:rPr>
          <w:rFonts w:hint="eastAsia"/>
          <w:szCs w:val="24"/>
          <w:lang/>
        </w:rPr>
        <w:br/>
        <w:t xml:space="preserve">　　（3）自2024年4月12日起，本基金将恢复办理大额申购、定期定额投资及转换转入业务，届时不再另行公告。</w:t>
      </w:r>
      <w:r>
        <w:rPr>
          <w:rFonts w:hint="eastAsia"/>
          <w:szCs w:val="24"/>
        </w:rPr>
        <w:t xml:space="preserve"> </w:t>
      </w:r>
    </w:p>
    <w:p w:rsidR="009A29F9" w:rsidRDefault="009A29F9">
      <w:pPr>
        <w:pStyle w:val="XBRLTitle1"/>
        <w:spacing w:before="156" w:line="360" w:lineRule="auto"/>
        <w:ind w:left="425"/>
        <w:jc w:val="left"/>
        <w:rPr>
          <w:rFonts w:hint="eastAsia"/>
        </w:rPr>
      </w:pPr>
      <w:bookmarkStart w:id="13" w:name="_Toc34322063"/>
      <w:bookmarkStart w:id="14" w:name="_Toc513295941"/>
      <w:bookmarkStart w:id="15" w:name="_Toc513295878"/>
      <w:bookmarkStart w:id="16" w:name="_Toc438646481"/>
      <w:bookmarkStart w:id="17" w:name="_Toc481075097"/>
      <w:bookmarkStart w:id="18" w:name="_Toc490050049"/>
      <w:bookmarkStart w:id="19" w:name="_Toc512519529"/>
      <w:bookmarkStart w:id="20" w:name="_Toc17897969"/>
      <w:bookmarkStart w:id="21" w:name="_Toc17898228"/>
      <w:bookmarkStart w:id="22" w:name="m201_01"/>
      <w:r>
        <w:rPr>
          <w:rFonts w:hAnsi="宋体" w:hint="eastAsia"/>
          <w:szCs w:val="24"/>
        </w:rPr>
        <w:t>其他需要提示的事项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r>
        <w:rPr>
          <w:rFonts w:hAnsi="宋体" w:hint="eastAsia"/>
          <w:szCs w:val="24"/>
        </w:rPr>
        <w:t xml:space="preserve"> </w:t>
      </w:r>
    </w:p>
    <w:p w:rsidR="009A29F9" w:rsidRDefault="009A29F9">
      <w:pPr>
        <w:spacing w:line="360" w:lineRule="auto"/>
        <w:ind w:firstLineChars="200" w:firstLine="420"/>
        <w:jc w:val="left"/>
        <w:rPr>
          <w:rFonts w:hint="eastAsia"/>
        </w:rPr>
      </w:pPr>
      <w:r>
        <w:rPr>
          <w:rFonts w:hint="eastAsia"/>
          <w:szCs w:val="21"/>
        </w:rPr>
        <w:t>敬请投资人提前做好交易安排。如有疑问，请拨打本公司客户服务电话，免费服务热线400-820-0860，或登录本公司网站www.cgf.cn获取相关信息。</w:t>
      </w:r>
      <w:r>
        <w:rPr>
          <w:rFonts w:hint="eastAsia"/>
          <w:szCs w:val="21"/>
        </w:rPr>
        <w:br/>
        <w:t xml:space="preserve">　　风险提示：基金管理人承诺以诚实信用、勤勉尽责的原则管理和运用基金财产，但不保证基金一定盈利，也不保证最低收益。投资者做出投资决策之前，请仔细阅读基金合同、基金招募说明书和基金产品资料概要等产品法律文件，充分认识基金的风险收益特征和产品特性，认真考虑基金存在的各项风险因素，并根据自身的投资目的、投资期限、投资经验、资产状况等因素充分考虑自身的风险承受能力，在了解产品情况及销售适当性意见的基础上，理性判断并谨慎做出投资决策。基金管理人提醒投资者基金投资的“买者自负”原则，在做出投资决策后，基金运营状况与基金净值变化引致的投资风险，由投资者自行负担。基金管理人、基金托管人、基金销售机构及相关机构不对基金投资收益做出任何承诺或保证。</w:t>
      </w:r>
      <w:r>
        <w:rPr>
          <w:rFonts w:hint="eastAsia"/>
          <w:szCs w:val="21"/>
        </w:rPr>
        <w:br/>
        <w:t xml:space="preserve">　　特此公告。</w:t>
      </w:r>
    </w:p>
    <w:p w:rsidR="009A29F9" w:rsidRDefault="009A29F9">
      <w:pPr>
        <w:spacing w:line="360" w:lineRule="auto"/>
        <w:ind w:firstLineChars="600" w:firstLine="1446"/>
        <w:jc w:val="right"/>
        <w:rPr>
          <w:rFonts w:hint="eastAsia"/>
          <w:b/>
          <w:bCs/>
          <w:sz w:val="24"/>
          <w:szCs w:val="30"/>
        </w:rPr>
      </w:pPr>
      <w:r>
        <w:rPr>
          <w:rFonts w:hint="eastAsia"/>
          <w:b/>
          <w:bCs/>
          <w:sz w:val="24"/>
          <w:szCs w:val="30"/>
        </w:rPr>
        <w:t xml:space="preserve">　 </w:t>
      </w:r>
    </w:p>
    <w:p w:rsidR="009A29F9" w:rsidRDefault="009A29F9">
      <w:pPr>
        <w:spacing w:line="360" w:lineRule="auto"/>
        <w:ind w:firstLineChars="600" w:firstLine="1446"/>
        <w:jc w:val="right"/>
        <w:rPr>
          <w:rFonts w:hint="eastAsia"/>
          <w:b/>
          <w:bCs/>
          <w:sz w:val="24"/>
          <w:szCs w:val="30"/>
        </w:rPr>
      </w:pPr>
      <w:r>
        <w:rPr>
          <w:rFonts w:hint="eastAsia"/>
          <w:b/>
          <w:bCs/>
          <w:sz w:val="24"/>
          <w:szCs w:val="30"/>
        </w:rPr>
        <w:t xml:space="preserve">　 </w:t>
      </w:r>
    </w:p>
    <w:p w:rsidR="009A29F9" w:rsidRDefault="009A29F9">
      <w:pPr>
        <w:spacing w:line="360" w:lineRule="auto"/>
        <w:ind w:firstLineChars="600" w:firstLine="1446"/>
        <w:jc w:val="right"/>
        <w:rPr>
          <w:rFonts w:hint="eastAsia"/>
        </w:rPr>
      </w:pPr>
      <w:r>
        <w:rPr>
          <w:rFonts w:hint="eastAsia"/>
          <w:b/>
          <w:bCs/>
          <w:sz w:val="24"/>
          <w:szCs w:val="24"/>
        </w:rPr>
        <w:t>银河基金管理有限公司</w:t>
      </w:r>
    </w:p>
    <w:p w:rsidR="009A29F9" w:rsidRDefault="009A29F9">
      <w:pPr>
        <w:spacing w:line="360" w:lineRule="auto"/>
        <w:ind w:firstLineChars="600" w:firstLine="1446"/>
        <w:jc w:val="right"/>
        <w:rPr>
          <w:rFonts w:hint="eastAsia"/>
        </w:rPr>
      </w:pPr>
      <w:r>
        <w:rPr>
          <w:rFonts w:hint="eastAsia"/>
          <w:b/>
          <w:bCs/>
          <w:sz w:val="24"/>
          <w:szCs w:val="24"/>
        </w:rPr>
        <w:t>2024年4月8日</w:t>
      </w:r>
      <w:bookmarkEnd w:id="22"/>
      <w:r>
        <w:rPr>
          <w:rFonts w:hint="eastAsia"/>
          <w:b/>
          <w:bCs/>
          <w:sz w:val="24"/>
          <w:szCs w:val="24"/>
        </w:rPr>
        <w:t xml:space="preserve"> </w:t>
      </w:r>
    </w:p>
    <w:sectPr w:rsidR="009A29F9">
      <w:headerReference w:type="default" r:id="rId8"/>
      <w:footerReference w:type="default" r:id="rId9"/>
      <w:headerReference w:type="first" r:id="rId10"/>
      <w:footerReference w:type="first" r:id="rId11"/>
      <w:pgSz w:w="11907" w:h="16839"/>
      <w:pgMar w:top="1440" w:right="1531" w:bottom="1134" w:left="1531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9F9" w:rsidRDefault="009A29F9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separator/>
      </w:r>
      <w:r>
        <w:rPr>
          <w:rFonts w:ascii="Times New Roman" w:hAnsi="Times New Roman" w:cs="Times New Roman"/>
          <w:szCs w:val="21"/>
        </w:rPr>
        <w:t xml:space="preserve"> </w:t>
      </w:r>
    </w:p>
  </w:endnote>
  <w:endnote w:type="continuationSeparator" w:id="0">
    <w:p w:rsidR="009A29F9" w:rsidRDefault="009A29F9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continuationSeparator/>
      </w:r>
      <w:r>
        <w:rPr>
          <w:rFonts w:ascii="Times New Roman" w:hAnsi="Times New Roman" w:cs="Times New Roman"/>
          <w:szCs w:val="21"/>
        </w:rP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icrosoft YaHei UI"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9F9" w:rsidRDefault="009A29F9">
    <w:pPr>
      <w:jc w:val="center"/>
      <w:rPr>
        <w:rFonts w:hint="eastAsia"/>
      </w:rPr>
    </w:pPr>
    <w:r>
      <w:rPr>
        <w:rFonts w:hint="eastAsia"/>
        <w:sz w:val="18"/>
        <w:szCs w:val="18"/>
      </w:rPr>
      <w:t>第</w:t>
    </w:r>
    <w:r>
      <w:rPr>
        <w:rFonts w:hint="eastAsia"/>
      </w:rPr>
      <w:t xml:space="preserve"> </w:t>
    </w:r>
    <w:r>
      <w:rPr>
        <w:rFonts w:hint="eastAsia"/>
        <w:sz w:val="18"/>
        <w:szCs w:val="18"/>
      </w:rPr>
      <w:fldChar w:fldCharType="begin"/>
    </w:r>
    <w:r>
      <w:rPr>
        <w:rFonts w:hint="eastAsia"/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>
      <w:rPr>
        <w:rFonts w:hint="eastAsia"/>
        <w:noProof/>
        <w:sz w:val="18"/>
        <w:szCs w:val="18"/>
      </w:rPr>
      <w:t>2</w:t>
    </w:r>
    <w:r>
      <w:rPr>
        <w:rFonts w:hint="eastAsia"/>
      </w:rPr>
      <w:t xml:space="preserve"> </w:t>
    </w:r>
    <w:r>
      <w:rPr>
        <w:rFonts w:hint="eastAsia"/>
        <w:sz w:val="18"/>
        <w:szCs w:val="18"/>
      </w:rPr>
      <w:fldChar w:fldCharType="end"/>
    </w:r>
    <w:r>
      <w:rPr>
        <w:rFonts w:hint="eastAsia"/>
        <w:sz w:val="18"/>
        <w:szCs w:val="18"/>
        <w:lang w:val="zh-CN"/>
      </w:rPr>
      <w:t>页 共</w:t>
    </w:r>
    <w:r>
      <w:rPr>
        <w:rFonts w:hint="eastAsia"/>
      </w:rPr>
      <w:t xml:space="preserve"> </w:t>
    </w:r>
    <w:r>
      <w:rPr>
        <w:rFonts w:hint="eastAsia"/>
        <w:sz w:val="18"/>
        <w:szCs w:val="18"/>
      </w:rPr>
      <w:fldChar w:fldCharType="begin"/>
    </w:r>
    <w:r>
      <w:rPr>
        <w:rFonts w:hint="eastAsia"/>
        <w:sz w:val="18"/>
        <w:szCs w:val="18"/>
      </w:rPr>
      <w:instrText xml:space="preserve"> NUMPAGES  </w:instrText>
    </w:r>
    <w:r>
      <w:rPr>
        <w:sz w:val="18"/>
        <w:szCs w:val="18"/>
      </w:rPr>
      <w:fldChar w:fldCharType="separate"/>
    </w:r>
    <w:r>
      <w:rPr>
        <w:rFonts w:hint="eastAsia"/>
        <w:noProof/>
        <w:sz w:val="18"/>
        <w:szCs w:val="18"/>
      </w:rPr>
      <w:t>2</w:t>
    </w:r>
    <w:r>
      <w:rPr>
        <w:rFonts w:hint="eastAsia"/>
      </w:rPr>
      <w:t xml:space="preserve"> </w:t>
    </w:r>
    <w:r>
      <w:rPr>
        <w:rFonts w:hint="eastAsia"/>
        <w:sz w:val="18"/>
        <w:szCs w:val="18"/>
      </w:rPr>
      <w:fldChar w:fldCharType="end"/>
    </w:r>
    <w:r>
      <w:rPr>
        <w:rFonts w:hint="eastAsia"/>
        <w:sz w:val="18"/>
        <w:szCs w:val="18"/>
      </w:rPr>
      <w:t>页</w:t>
    </w:r>
    <w:r>
      <w:rPr>
        <w:rFonts w:hint="eastAsia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9F9" w:rsidRDefault="009A29F9">
    <w:pPr>
      <w:pStyle w:val="aa"/>
      <w:rPr>
        <w:rFonts w:hint="eastAsia"/>
      </w:rPr>
    </w:pPr>
  </w:p>
  <w:p w:rsidR="009A29F9" w:rsidRDefault="009A29F9">
    <w:pPr>
      <w:jc w:val="center"/>
      <w:rPr>
        <w:rFonts w:hint="eastAsia"/>
      </w:rPr>
    </w:pPr>
    <w:r>
      <w:rPr>
        <w:rFonts w:hint="eastAsia"/>
        <w:sz w:val="18"/>
        <w:szCs w:val="18"/>
      </w:rPr>
      <w:t>第</w:t>
    </w:r>
    <w:r>
      <w:rPr>
        <w:rFonts w:hint="eastAsia"/>
      </w:rPr>
      <w:t xml:space="preserve"> </w:t>
    </w:r>
    <w:r>
      <w:rPr>
        <w:rFonts w:hint="eastAsia"/>
        <w:sz w:val="18"/>
        <w:szCs w:val="18"/>
      </w:rPr>
      <w:fldChar w:fldCharType="begin"/>
    </w:r>
    <w:r>
      <w:rPr>
        <w:rFonts w:hint="eastAsia"/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>
      <w:rPr>
        <w:rFonts w:hint="eastAsia"/>
        <w:noProof/>
        <w:sz w:val="18"/>
        <w:szCs w:val="18"/>
      </w:rPr>
      <w:t>1</w:t>
    </w:r>
    <w:r>
      <w:rPr>
        <w:rFonts w:hint="eastAsia"/>
      </w:rPr>
      <w:t xml:space="preserve"> </w:t>
    </w:r>
    <w:r>
      <w:rPr>
        <w:rFonts w:hint="eastAsia"/>
        <w:sz w:val="18"/>
        <w:szCs w:val="18"/>
      </w:rPr>
      <w:fldChar w:fldCharType="end"/>
    </w:r>
    <w:r>
      <w:rPr>
        <w:rFonts w:hint="eastAsia"/>
        <w:sz w:val="18"/>
        <w:szCs w:val="18"/>
        <w:lang w:val="zh-CN"/>
      </w:rPr>
      <w:t>页 共</w:t>
    </w:r>
    <w:r>
      <w:rPr>
        <w:rFonts w:hint="eastAsia"/>
      </w:rPr>
      <w:t xml:space="preserve"> </w:t>
    </w:r>
    <w:r>
      <w:rPr>
        <w:rFonts w:hint="eastAsia"/>
        <w:sz w:val="18"/>
        <w:szCs w:val="18"/>
      </w:rPr>
      <w:fldChar w:fldCharType="begin"/>
    </w:r>
    <w:r>
      <w:rPr>
        <w:rFonts w:hint="eastAsia"/>
        <w:sz w:val="18"/>
        <w:szCs w:val="18"/>
      </w:rPr>
      <w:instrText xml:space="preserve"> NUMPAGES  </w:instrText>
    </w:r>
    <w:r>
      <w:rPr>
        <w:sz w:val="18"/>
        <w:szCs w:val="18"/>
      </w:rPr>
      <w:fldChar w:fldCharType="separate"/>
    </w:r>
    <w:r>
      <w:rPr>
        <w:rFonts w:hint="eastAsia"/>
        <w:noProof/>
        <w:sz w:val="18"/>
        <w:szCs w:val="18"/>
      </w:rPr>
      <w:t>2</w:t>
    </w:r>
    <w:r>
      <w:rPr>
        <w:rFonts w:hint="eastAsia"/>
      </w:rPr>
      <w:t xml:space="preserve"> </w:t>
    </w:r>
    <w:r>
      <w:rPr>
        <w:rFonts w:hint="eastAsia"/>
        <w:sz w:val="18"/>
        <w:szCs w:val="18"/>
      </w:rPr>
      <w:fldChar w:fldCharType="end"/>
    </w:r>
    <w:r>
      <w:rPr>
        <w:rFonts w:hint="eastAsia"/>
        <w:sz w:val="18"/>
        <w:szCs w:val="18"/>
      </w:rPr>
      <w:t>页</w:t>
    </w:r>
    <w:r>
      <w:rPr>
        <w:rFonts w:hint="eastAsia"/>
      </w:rPr>
      <w:t xml:space="preserve"> </w:t>
    </w:r>
  </w:p>
  <w:p w:rsidR="009A29F9" w:rsidRDefault="009A29F9">
    <w:pPr>
      <w:pStyle w:val="aa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9F9" w:rsidRDefault="009A29F9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separator/>
      </w:r>
      <w:r>
        <w:rPr>
          <w:rFonts w:ascii="Times New Roman" w:hAnsi="Times New Roman" w:cs="Times New Roman"/>
          <w:szCs w:val="21"/>
        </w:rPr>
        <w:t xml:space="preserve"> </w:t>
      </w:r>
    </w:p>
  </w:footnote>
  <w:footnote w:type="continuationSeparator" w:id="0">
    <w:p w:rsidR="009A29F9" w:rsidRDefault="009A29F9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continuationSeparator/>
      </w:r>
      <w:r>
        <w:rPr>
          <w:rFonts w:ascii="Times New Roman" w:hAnsi="Times New Roman" w:cs="Times New Roman"/>
          <w:szCs w:val="21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9F9" w:rsidRDefault="009A29F9">
    <w:pPr>
      <w:pStyle w:val="a8"/>
      <w:jc w:val="right"/>
    </w:pPr>
    <w:r>
      <w:rPr>
        <w:rFonts w:hint="eastAsia"/>
      </w:rPr>
      <w:t>银河银信添利债券型证券投资基金暂停大额申购、定期定额投资及转换转入业务的公告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9F9" w:rsidRDefault="009A29F9">
    <w:pPr>
      <w:pStyle w:val="a8"/>
      <w:jc w:val="right"/>
      <w:rPr>
        <w:rFonts w:hint="eastAsia"/>
      </w:rPr>
    </w:pPr>
    <w:r>
      <w:rPr>
        <w:rFonts w:hint="eastAsia"/>
      </w:rPr>
      <w:t>银河银信添利债券型证券投资基金暂停大额申购、定期定额投资及转换转入业务的公告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D73EE"/>
    <w:multiLevelType w:val="multilevel"/>
    <w:tmpl w:val="804A17E2"/>
    <w:lvl w:ilvl="0">
      <w:start w:val="1"/>
      <w:numFmt w:val="decimal"/>
      <w:pStyle w:val="XBRLTitle1"/>
      <w:lvlText w:val="%1."/>
      <w:lvlJc w:val="left"/>
      <w:pPr>
        <w:ind w:left="425" w:hanging="425"/>
      </w:pPr>
      <w:rPr>
        <w:sz w:val="24"/>
        <w:szCs w:val="24"/>
      </w:rPr>
    </w:lvl>
    <w:lvl w:ilvl="1">
      <w:start w:val="1"/>
      <w:numFmt w:val="decimal"/>
      <w:pStyle w:val="XBRLTitle2"/>
      <w:suff w:val="space"/>
      <w:lvlText w:val="%1.%2"/>
      <w:lvlJc w:val="left"/>
      <w:pPr>
        <w:ind w:left="3148" w:hanging="454"/>
      </w:pPr>
    </w:lvl>
    <w:lvl w:ilvl="2">
      <w:start w:val="1"/>
      <w:numFmt w:val="decimal"/>
      <w:pStyle w:val="XBRLTitle3"/>
      <w:suff w:val="space"/>
      <w:lvlText w:val="%1.%2.%3"/>
      <w:lvlJc w:val="left"/>
      <w:pPr>
        <w:ind w:left="1050" w:hanging="624"/>
      </w:pPr>
      <w:rPr>
        <w:sz w:val="24"/>
        <w:szCs w:val="24"/>
      </w:rPr>
    </w:lvl>
    <w:lvl w:ilvl="3">
      <w:start w:val="1"/>
      <w:numFmt w:val="decimal"/>
      <w:suff w:val="space"/>
      <w:lvlText w:val="%1.%2.%3.%4"/>
      <w:lvlJc w:val="left"/>
      <w:pPr>
        <w:ind w:left="794" w:hanging="794"/>
      </w:pPr>
    </w:lvl>
    <w:lvl w:ilvl="4">
      <w:start w:val="1"/>
      <w:numFmt w:val="decimal"/>
      <w:suff w:val="space"/>
      <w:lvlText w:val="%1.%2.%3.%4.%5"/>
      <w:lvlJc w:val="left"/>
      <w:pPr>
        <w:ind w:left="1021" w:hanging="1021"/>
      </w:pPr>
    </w:lvl>
    <w:lvl w:ilvl="5">
      <w:start w:val="1"/>
      <w:numFmt w:val="decimal"/>
      <w:suff w:val="space"/>
      <w:lvlText w:val="%1.%2.%3.%4.%5.%6"/>
      <w:lvlJc w:val="left"/>
      <w:pPr>
        <w:ind w:left="1021" w:hanging="1021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mirrorMargins/>
  <w:bordersDoNotSurroundHeader/>
  <w:bordersDoNotSurroundFooter/>
  <w:attachedTemplate r:id="rId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1A75"/>
    <w:rsid w:val="002F3486"/>
    <w:rsid w:val="00881A75"/>
    <w:rsid w:val="009A2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eastAsia="宋体" w:hAnsi="宋体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header" w:semiHidden="0" w:unhideWhenUsed="0"/>
    <w:lsdException w:name="footer" w:semiHidden="0" w:unhideWhenUsed="0"/>
    <w:lsdException w:name="caption" w:uiPriority="35" w:qFormat="1"/>
    <w:lsdException w:name="footnote reference" w:semiHidden="0" w:uiPriority="0" w:unhideWhenUsed="0"/>
    <w:lsdException w:name="page number" w:semiHidden="0" w:unhideWhenUsed="0"/>
    <w:lsdException w:name="Title" w:semiHidden="0" w:uiPriority="10" w:unhideWhenUsed="0" w:qFormat="1"/>
    <w:lsdException w:name="Default Paragraph Font" w:semiHidden="0" w:uiPriority="1" w:unhideWhenUsed="0"/>
    <w:lsdException w:name="Subtitle" w:semiHidden="0" w:uiPriority="0" w:unhideWhenUsed="0" w:qFormat="1"/>
    <w:lsdException w:name="Date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uiPriority="0" w:unhideWhenUsed="0"/>
    <w:lsdException w:name="Normal (Web)" w:semiHidden="0" w:uiPriority="0" w:unhideWhenUsed="0"/>
    <w:lsdException w:name="Table Grid" w:uiPriority="59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宋体"/>
      <w:kern w:val="2"/>
      <w:sz w:val="21"/>
    </w:rPr>
  </w:style>
  <w:style w:type="paragraph" w:styleId="1">
    <w:name w:val="heading 1"/>
    <w:basedOn w:val="a"/>
    <w:next w:val="a"/>
    <w:link w:val="11"/>
    <w:uiPriority w:val="9"/>
    <w:qFormat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  <w:lang/>
    </w:rPr>
  </w:style>
  <w:style w:type="paragraph" w:styleId="2">
    <w:name w:val="heading 2"/>
    <w:basedOn w:val="a"/>
    <w:next w:val="a"/>
    <w:link w:val="21"/>
    <w:uiPriority w:val="9"/>
    <w:qFormat/>
    <w:pPr>
      <w:keepNext/>
      <w:keepLines/>
      <w:spacing w:before="260" w:after="260" w:line="408" w:lineRule="auto"/>
      <w:outlineLvl w:val="1"/>
    </w:pPr>
    <w:rPr>
      <w:rFonts w:ascii="Cambria" w:hAnsi="Cambria"/>
      <w:b/>
      <w:bCs/>
      <w:kern w:val="0"/>
      <w:sz w:val="32"/>
      <w:szCs w:val="32"/>
      <w:lang/>
    </w:rPr>
  </w:style>
  <w:style w:type="paragraph" w:styleId="3">
    <w:name w:val="heading 3"/>
    <w:basedOn w:val="a"/>
    <w:next w:val="a"/>
    <w:link w:val="31"/>
    <w:uiPriority w:val="9"/>
    <w:qFormat/>
    <w:pPr>
      <w:keepNext/>
      <w:keepLines/>
      <w:spacing w:before="260" w:after="260" w:line="408" w:lineRule="auto"/>
      <w:outlineLvl w:val="2"/>
    </w:pPr>
    <w:rPr>
      <w:b/>
      <w:bCs/>
      <w:kern w:val="0"/>
      <w:sz w:val="32"/>
      <w:szCs w:val="32"/>
      <w:lang/>
    </w:rPr>
  </w:style>
  <w:style w:type="paragraph" w:styleId="4">
    <w:name w:val="heading 4"/>
    <w:basedOn w:val="a"/>
    <w:next w:val="a"/>
    <w:link w:val="41"/>
    <w:qFormat/>
    <w:pPr>
      <w:keepNext/>
      <w:keepLines/>
      <w:spacing w:before="240" w:after="290" w:line="372" w:lineRule="auto"/>
      <w:outlineLvl w:val="3"/>
    </w:pPr>
    <w:rPr>
      <w:rFonts w:ascii="Cambria" w:hAnsi="Cambria"/>
      <w:b/>
      <w:bCs/>
      <w:kern w:val="0"/>
      <w:sz w:val="24"/>
      <w:szCs w:val="24"/>
      <w:lang/>
    </w:rPr>
  </w:style>
  <w:style w:type="paragraph" w:styleId="5">
    <w:name w:val="heading 5"/>
    <w:basedOn w:val="a"/>
    <w:next w:val="a"/>
    <w:link w:val="51"/>
    <w:uiPriority w:val="9"/>
    <w:semiHidden/>
    <w:unhideWhenUsed/>
    <w:qFormat/>
    <w:pPr>
      <w:keepNext/>
      <w:keepLines/>
      <w:spacing w:before="240" w:after="290" w:line="372" w:lineRule="auto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1"/>
    <w:uiPriority w:val="9"/>
    <w:semiHidden/>
    <w:unhideWhenUsed/>
    <w:qFormat/>
    <w:pPr>
      <w:keepNext/>
      <w:keepLines/>
      <w:spacing w:before="240" w:after="64" w:line="312" w:lineRule="auto"/>
      <w:outlineLvl w:val="5"/>
    </w:pPr>
    <w:rPr>
      <w:rFonts w:ascii="Cambria" w:hAnsi="Cambria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color w:val="0000FF"/>
      <w:u w:val="single"/>
    </w:rPr>
  </w:style>
  <w:style w:type="character" w:styleId="a4">
    <w:name w:val="访问过的超链接"/>
    <w:uiPriority w:val="99"/>
    <w:semiHidden/>
    <w:unhideWhenUsed/>
    <w:rPr>
      <w:color w:val="800080"/>
      <w:u w:val="single"/>
    </w:rPr>
  </w:style>
  <w:style w:type="character" w:customStyle="1" w:styleId="10">
    <w:name w:val="标题 1 字符"/>
    <w:link w:val="1"/>
    <w:uiPriority w:val="9"/>
    <w:locked/>
    <w:rPr>
      <w:b/>
      <w:bCs/>
      <w:kern w:val="44"/>
      <w:sz w:val="44"/>
      <w:szCs w:val="44"/>
    </w:rPr>
  </w:style>
  <w:style w:type="character" w:customStyle="1" w:styleId="20">
    <w:name w:val="标题 2 字符"/>
    <w:link w:val="2"/>
    <w:uiPriority w:val="9"/>
    <w:locked/>
    <w:rPr>
      <w:rFonts w:ascii="Cambria" w:eastAsia="宋体" w:hAnsi="Cambria" w:cs="Times New Roman" w:hint="default"/>
      <w:b/>
      <w:bCs/>
      <w:kern w:val="2"/>
      <w:sz w:val="32"/>
      <w:szCs w:val="32"/>
    </w:rPr>
  </w:style>
  <w:style w:type="character" w:customStyle="1" w:styleId="30">
    <w:name w:val="标题 3 字符"/>
    <w:link w:val="3"/>
    <w:uiPriority w:val="9"/>
    <w:locked/>
    <w:rPr>
      <w:b/>
      <w:bCs/>
      <w:kern w:val="2"/>
      <w:sz w:val="32"/>
      <w:szCs w:val="32"/>
    </w:rPr>
  </w:style>
  <w:style w:type="character" w:customStyle="1" w:styleId="40">
    <w:name w:val="标题 4 字符"/>
    <w:link w:val="4"/>
    <w:locked/>
    <w:rPr>
      <w:rFonts w:ascii="Cambria" w:eastAsia="宋体" w:hAnsi="Cambria" w:cs="Times New Roman" w:hint="default"/>
      <w:b/>
      <w:bCs/>
      <w:kern w:val="2"/>
      <w:sz w:val="24"/>
      <w:szCs w:val="24"/>
    </w:rPr>
  </w:style>
  <w:style w:type="character" w:customStyle="1" w:styleId="50">
    <w:name w:val="标题 5 字符"/>
    <w:link w:val="5"/>
    <w:uiPriority w:val="9"/>
    <w:semiHidden/>
    <w:rPr>
      <w:rFonts w:cs="宋体"/>
      <w:b/>
      <w:bCs/>
      <w:kern w:val="2"/>
      <w:sz w:val="28"/>
      <w:szCs w:val="28"/>
    </w:rPr>
  </w:style>
  <w:style w:type="character" w:customStyle="1" w:styleId="60">
    <w:name w:val="标题 6 字符"/>
    <w:link w:val="6"/>
    <w:uiPriority w:val="9"/>
    <w:semiHidden/>
    <w:rPr>
      <w:rFonts w:ascii="Cambria" w:eastAsia="宋体" w:hAnsi="Cambria" w:cs="Times New Roman"/>
      <w:b/>
      <w:bCs/>
      <w:kern w:val="2"/>
      <w:sz w:val="24"/>
      <w:szCs w:val="24"/>
    </w:rPr>
  </w:style>
  <w:style w:type="paragraph" w:customStyle="1" w:styleId="msonormal0">
    <w:name w:val="msonormal"/>
    <w:basedOn w:val="a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paragraph" w:styleId="a5">
    <w:name w:val="Normal (Web)"/>
    <w:basedOn w:val="a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paragraph" w:styleId="TOC1">
    <w:name w:val="TOC 1"/>
    <w:basedOn w:val="a"/>
    <w:next w:val="a"/>
    <w:autoRedefine/>
    <w:uiPriority w:val="39"/>
    <w:semiHidden/>
    <w:unhideWhenUsed/>
    <w:pPr>
      <w:tabs>
        <w:tab w:val="right" w:leader="dot" w:pos="8835"/>
      </w:tabs>
    </w:pPr>
    <w:rPr>
      <w:noProof/>
    </w:rPr>
  </w:style>
  <w:style w:type="paragraph" w:styleId="TOC2">
    <w:name w:val="TOC 2"/>
    <w:basedOn w:val="a"/>
    <w:next w:val="a"/>
    <w:autoRedefine/>
    <w:uiPriority w:val="39"/>
    <w:semiHidden/>
    <w:unhideWhenUsed/>
    <w:pPr>
      <w:ind w:leftChars="200" w:left="420"/>
    </w:pPr>
  </w:style>
  <w:style w:type="paragraph" w:styleId="TOC3">
    <w:name w:val="TOC 3"/>
    <w:basedOn w:val="a"/>
    <w:next w:val="a"/>
    <w:autoRedefine/>
    <w:uiPriority w:val="39"/>
    <w:semiHidden/>
    <w:unhideWhenUsed/>
  </w:style>
  <w:style w:type="paragraph" w:styleId="a6">
    <w:name w:val="footnote text"/>
    <w:basedOn w:val="a"/>
    <w:link w:val="12"/>
    <w:pPr>
      <w:snapToGrid w:val="0"/>
      <w:jc w:val="left"/>
    </w:pPr>
    <w:rPr>
      <w:sz w:val="18"/>
      <w:szCs w:val="18"/>
    </w:rPr>
  </w:style>
  <w:style w:type="character" w:customStyle="1" w:styleId="a7">
    <w:name w:val="脚注文本 字符"/>
    <w:link w:val="a6"/>
    <w:locked/>
    <w:rPr>
      <w:kern w:val="2"/>
      <w:sz w:val="18"/>
      <w:szCs w:val="18"/>
    </w:rPr>
  </w:style>
  <w:style w:type="paragraph" w:styleId="a8">
    <w:name w:val="header"/>
    <w:basedOn w:val="a"/>
    <w:link w:val="22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link w:val="a8"/>
    <w:uiPriority w:val="99"/>
    <w:locked/>
    <w:rPr>
      <w:kern w:val="2"/>
      <w:sz w:val="18"/>
      <w:szCs w:val="18"/>
    </w:rPr>
  </w:style>
  <w:style w:type="paragraph" w:styleId="aa">
    <w:name w:val="footer"/>
    <w:basedOn w:val="a"/>
    <w:link w:val="13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link w:val="aa"/>
    <w:uiPriority w:val="99"/>
    <w:locked/>
    <w:rPr>
      <w:kern w:val="2"/>
      <w:sz w:val="18"/>
      <w:szCs w:val="18"/>
    </w:rPr>
  </w:style>
  <w:style w:type="paragraph" w:styleId="ac">
    <w:name w:val="Title"/>
    <w:basedOn w:val="1"/>
    <w:next w:val="2"/>
    <w:link w:val="14"/>
    <w:uiPriority w:val="10"/>
    <w:qFormat/>
    <w:pPr>
      <w:keepNext w:val="0"/>
      <w:keepLines w:val="0"/>
      <w:spacing w:before="240" w:after="60" w:line="240" w:lineRule="auto"/>
      <w:jc w:val="center"/>
    </w:pPr>
    <w:rPr>
      <w:rFonts w:ascii="Cambria" w:hAnsi="Cambria"/>
      <w:kern w:val="0"/>
      <w:sz w:val="32"/>
      <w:szCs w:val="32"/>
    </w:rPr>
  </w:style>
  <w:style w:type="character" w:customStyle="1" w:styleId="ad">
    <w:name w:val="标题 字符"/>
    <w:link w:val="ac"/>
    <w:uiPriority w:val="10"/>
    <w:locked/>
    <w:rPr>
      <w:rFonts w:ascii="Cambria" w:eastAsia="宋体" w:hAnsi="Cambria" w:cs="Times New Roman" w:hint="default"/>
      <w:b/>
      <w:bCs/>
      <w:kern w:val="2"/>
      <w:sz w:val="32"/>
      <w:szCs w:val="32"/>
    </w:rPr>
  </w:style>
  <w:style w:type="paragraph" w:styleId="ae">
    <w:name w:val="Subtitle"/>
    <w:basedOn w:val="2"/>
    <w:next w:val="3"/>
    <w:link w:val="15"/>
    <w:qFormat/>
    <w:pPr>
      <w:spacing w:before="240" w:after="60" w:line="312" w:lineRule="auto"/>
      <w:jc w:val="left"/>
    </w:pPr>
    <w:rPr>
      <w:bCs w:val="0"/>
      <w:kern w:val="24"/>
      <w:sz w:val="24"/>
    </w:rPr>
  </w:style>
  <w:style w:type="character" w:customStyle="1" w:styleId="af">
    <w:name w:val="副标题 字符"/>
    <w:link w:val="ae"/>
    <w:locked/>
    <w:rPr>
      <w:rFonts w:ascii="Calibri" w:eastAsia="宋体" w:hAnsi="Calibri" w:cs="Times New Roman" w:hint="default"/>
      <w:b/>
      <w:bCs/>
      <w:kern w:val="24"/>
      <w:sz w:val="32"/>
      <w:szCs w:val="32"/>
    </w:rPr>
  </w:style>
  <w:style w:type="paragraph" w:styleId="af0">
    <w:name w:val="Date"/>
    <w:basedOn w:val="a"/>
    <w:next w:val="a"/>
    <w:link w:val="16"/>
    <w:rPr>
      <w:sz w:val="32"/>
      <w:lang/>
    </w:rPr>
  </w:style>
  <w:style w:type="character" w:customStyle="1" w:styleId="af1">
    <w:name w:val="日期 字符"/>
    <w:link w:val="af0"/>
    <w:locked/>
    <w:rPr>
      <w:kern w:val="2"/>
      <w:sz w:val="21"/>
    </w:rPr>
  </w:style>
  <w:style w:type="paragraph" w:styleId="af2">
    <w:name w:val="Document Map"/>
    <w:basedOn w:val="a"/>
    <w:link w:val="17"/>
    <w:pPr>
      <w:shd w:val="clear" w:color="auto" w:fill="000080"/>
    </w:pPr>
  </w:style>
  <w:style w:type="character" w:customStyle="1" w:styleId="af3">
    <w:name w:val="文档结构图 字符"/>
    <w:link w:val="af2"/>
    <w:locked/>
    <w:rPr>
      <w:rFonts w:ascii="Microsoft YaHei UI" w:eastAsia="Microsoft YaHei UI" w:hAnsi="Microsoft YaHei UI" w:hint="eastAsia"/>
      <w:kern w:val="2"/>
      <w:sz w:val="18"/>
      <w:szCs w:val="18"/>
    </w:rPr>
  </w:style>
  <w:style w:type="paragraph" w:styleId="af4">
    <w:name w:val="Balloon Text"/>
    <w:basedOn w:val="a"/>
    <w:link w:val="18"/>
    <w:uiPriority w:val="99"/>
    <w:semiHidden/>
    <w:unhideWhenUsed/>
    <w:rPr>
      <w:sz w:val="18"/>
      <w:szCs w:val="18"/>
    </w:rPr>
  </w:style>
  <w:style w:type="character" w:customStyle="1" w:styleId="af5">
    <w:name w:val="批注框文本 字符"/>
    <w:link w:val="af4"/>
    <w:uiPriority w:val="99"/>
    <w:semiHidden/>
    <w:locked/>
    <w:rPr>
      <w:kern w:val="2"/>
      <w:sz w:val="18"/>
      <w:szCs w:val="18"/>
    </w:rPr>
  </w:style>
  <w:style w:type="paragraph" w:styleId="TOC">
    <w:name w:val="TOC Heading"/>
    <w:basedOn w:val="1"/>
    <w:next w:val="a"/>
    <w:uiPriority w:val="39"/>
    <w:semiHidden/>
    <w:unhideWhenUsed/>
    <w:qFormat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4"/>
      <w:szCs w:val="24"/>
      <w:lang w:val="en-US" w:eastAsia="zh-CN"/>
    </w:rPr>
  </w:style>
  <w:style w:type="paragraph" w:customStyle="1" w:styleId="XBRLTitle6">
    <w:name w:val="XBRLTitle6"/>
    <w:basedOn w:val="ae"/>
    <w:next w:val="4"/>
    <w:qFormat/>
    <w:pPr>
      <w:numPr>
        <w:ilvl w:val="5"/>
        <w:numId w:val="2"/>
      </w:numPr>
      <w:spacing w:beforeLines="50" w:after="0" w:line="240" w:lineRule="auto"/>
      <w:ind w:left="2042"/>
      <w:outlineLvl w:val="9"/>
    </w:pPr>
    <w:rPr>
      <w:bCs/>
    </w:rPr>
  </w:style>
  <w:style w:type="paragraph" w:customStyle="1" w:styleId="af6">
    <w:name w:val="次标题"/>
    <w:basedOn w:val="3"/>
    <w:next w:val="a"/>
    <w:pPr>
      <w:spacing w:before="120" w:after="120"/>
      <w:jc w:val="left"/>
    </w:pPr>
    <w:rPr>
      <w:sz w:val="21"/>
    </w:rPr>
  </w:style>
  <w:style w:type="paragraph" w:customStyle="1" w:styleId="XBRL6">
    <w:name w:val="XBRL标题6"/>
    <w:basedOn w:val="ae"/>
    <w:next w:val="4"/>
    <w:qFormat/>
    <w:pPr>
      <w:spacing w:beforeLines="50" w:after="0" w:line="240" w:lineRule="auto"/>
      <w:outlineLvl w:val="9"/>
    </w:pPr>
    <w:rPr>
      <w:bCs/>
    </w:rPr>
  </w:style>
  <w:style w:type="paragraph" w:customStyle="1" w:styleId="XBRL2">
    <w:name w:val="XBRL标题2"/>
    <w:basedOn w:val="ae"/>
    <w:next w:val="4"/>
    <w:qFormat/>
    <w:pPr>
      <w:spacing w:beforeLines="50" w:after="0" w:line="240" w:lineRule="auto"/>
    </w:pPr>
    <w:rPr>
      <w:bCs/>
    </w:rPr>
  </w:style>
  <w:style w:type="paragraph" w:customStyle="1" w:styleId="XBRL3">
    <w:name w:val="XBRL标题3"/>
    <w:basedOn w:val="ae"/>
    <w:next w:val="4"/>
    <w:qFormat/>
    <w:pPr>
      <w:spacing w:beforeLines="50" w:after="0" w:line="240" w:lineRule="auto"/>
      <w:outlineLvl w:val="9"/>
    </w:pPr>
    <w:rPr>
      <w:bCs/>
    </w:rPr>
  </w:style>
  <w:style w:type="paragraph" w:customStyle="1" w:styleId="XBRLTitle1">
    <w:name w:val="XBRLTitle1"/>
    <w:basedOn w:val="1"/>
    <w:next w:val="2"/>
    <w:qFormat/>
    <w:pPr>
      <w:keepNext w:val="0"/>
      <w:keepLines w:val="0"/>
      <w:numPr>
        <w:numId w:val="2"/>
      </w:numPr>
      <w:spacing w:beforeLines="50" w:after="0" w:line="240" w:lineRule="auto"/>
      <w:ind w:left="850"/>
      <w:jc w:val="center"/>
    </w:pPr>
    <w:rPr>
      <w:rFonts w:hAnsi="Cambria"/>
      <w:sz w:val="24"/>
    </w:rPr>
  </w:style>
  <w:style w:type="paragraph" w:customStyle="1" w:styleId="XBRLTitle2">
    <w:name w:val="XBRLTitle2"/>
    <w:basedOn w:val="ae"/>
    <w:next w:val="4"/>
    <w:qFormat/>
    <w:pPr>
      <w:keepNext w:val="0"/>
      <w:keepLines w:val="0"/>
      <w:numPr>
        <w:ilvl w:val="1"/>
        <w:numId w:val="2"/>
      </w:numPr>
      <w:spacing w:beforeLines="50" w:after="0" w:line="240" w:lineRule="auto"/>
      <w:ind w:left="3602"/>
    </w:pPr>
    <w:rPr>
      <w:rFonts w:ascii="宋体"/>
      <w:bCs/>
    </w:rPr>
  </w:style>
  <w:style w:type="paragraph" w:customStyle="1" w:styleId="XBRLTitle5">
    <w:name w:val="XBRLTitle5"/>
    <w:basedOn w:val="ae"/>
    <w:next w:val="4"/>
    <w:qFormat/>
    <w:pPr>
      <w:numPr>
        <w:ilvl w:val="4"/>
        <w:numId w:val="2"/>
      </w:numPr>
      <w:spacing w:beforeLines="50" w:after="0" w:line="240" w:lineRule="auto"/>
      <w:ind w:left="2042"/>
      <w:outlineLvl w:val="9"/>
    </w:pPr>
    <w:rPr>
      <w:bCs/>
    </w:rPr>
  </w:style>
  <w:style w:type="paragraph" w:customStyle="1" w:styleId="Char">
    <w:name w:val="Char"/>
    <w:basedOn w:val="a"/>
  </w:style>
  <w:style w:type="paragraph" w:customStyle="1" w:styleId="CharCharCharCharCharChar1CharCharChar">
    <w:name w:val="Char Char Char Char Char Char1 Char Char Char"/>
    <w:basedOn w:val="a"/>
    <w:pPr>
      <w:autoSpaceDE w:val="0"/>
      <w:autoSpaceDN w:val="0"/>
      <w:adjustRightInd w:val="0"/>
      <w:jc w:val="left"/>
    </w:pPr>
  </w:style>
  <w:style w:type="paragraph" w:customStyle="1" w:styleId="XBRL1">
    <w:name w:val="XBRL标题1"/>
    <w:basedOn w:val="1"/>
    <w:next w:val="2"/>
    <w:qFormat/>
    <w:pPr>
      <w:spacing w:beforeLines="50" w:after="0" w:line="240" w:lineRule="auto"/>
      <w:jc w:val="center"/>
    </w:pPr>
    <w:rPr>
      <w:rFonts w:ascii="Cambria" w:hAnsi="Cambria"/>
      <w:sz w:val="24"/>
    </w:rPr>
  </w:style>
  <w:style w:type="paragraph" w:customStyle="1" w:styleId="XBRL5">
    <w:name w:val="XBRL标题5"/>
    <w:basedOn w:val="ae"/>
    <w:next w:val="4"/>
    <w:qFormat/>
    <w:pPr>
      <w:spacing w:beforeLines="50" w:after="0" w:line="240" w:lineRule="auto"/>
      <w:outlineLvl w:val="9"/>
    </w:pPr>
    <w:rPr>
      <w:bCs/>
    </w:rPr>
  </w:style>
  <w:style w:type="paragraph" w:customStyle="1" w:styleId="XBRL4">
    <w:name w:val="XBRL标题4"/>
    <w:basedOn w:val="ae"/>
    <w:next w:val="4"/>
    <w:qFormat/>
    <w:pPr>
      <w:spacing w:beforeLines="50" w:after="0" w:line="240" w:lineRule="auto"/>
      <w:outlineLvl w:val="9"/>
    </w:pPr>
    <w:rPr>
      <w:bCs/>
    </w:rPr>
  </w:style>
  <w:style w:type="paragraph" w:customStyle="1" w:styleId="XBRLTitle4">
    <w:name w:val="XBRLTitle4"/>
    <w:basedOn w:val="ae"/>
    <w:next w:val="4"/>
    <w:qFormat/>
    <w:pPr>
      <w:numPr>
        <w:ilvl w:val="3"/>
        <w:numId w:val="2"/>
      </w:numPr>
      <w:spacing w:beforeLines="50" w:after="0" w:line="240" w:lineRule="auto"/>
      <w:ind w:left="1588"/>
      <w:outlineLvl w:val="9"/>
    </w:pPr>
    <w:rPr>
      <w:bCs/>
    </w:rPr>
  </w:style>
  <w:style w:type="paragraph" w:customStyle="1" w:styleId="xl33">
    <w:name w:val="xl33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hAnsi="Arial Unicode MS"/>
      <w:kern w:val="0"/>
      <w:sz w:val="24"/>
    </w:rPr>
  </w:style>
  <w:style w:type="paragraph" w:customStyle="1" w:styleId="XBRLTitle3">
    <w:name w:val="XBRLTitle3"/>
    <w:basedOn w:val="ae"/>
    <w:next w:val="4"/>
    <w:autoRedefine/>
    <w:qFormat/>
    <w:pPr>
      <w:keepNext w:val="0"/>
      <w:keepLines w:val="0"/>
      <w:numPr>
        <w:ilvl w:val="2"/>
        <w:numId w:val="2"/>
      </w:numPr>
      <w:spacing w:beforeLines="50" w:after="0" w:line="360" w:lineRule="auto"/>
      <w:ind w:firstLine="0"/>
      <w:outlineLvl w:val="9"/>
    </w:pPr>
    <w:rPr>
      <w:rFonts w:ascii="宋体"/>
      <w:bCs/>
    </w:rPr>
  </w:style>
  <w:style w:type="paragraph" w:customStyle="1" w:styleId="Default">
    <w:name w:val="Default"/>
    <w:basedOn w:val="a"/>
    <w:pPr>
      <w:autoSpaceDE w:val="0"/>
      <w:autoSpaceDN w:val="0"/>
      <w:adjustRightInd w:val="0"/>
      <w:jc w:val="left"/>
    </w:pPr>
    <w:rPr>
      <w:rFonts w:ascii="仿宋" w:eastAsia="仿宋" w:hAnsi="仿宋"/>
      <w:color w:val="000000"/>
      <w:kern w:val="0"/>
      <w:sz w:val="24"/>
      <w:szCs w:val="24"/>
    </w:rPr>
  </w:style>
  <w:style w:type="character" w:styleId="af7">
    <w:name w:val="footnote reference"/>
    <w:rPr>
      <w:vertAlign w:val="superscript"/>
    </w:rPr>
  </w:style>
  <w:style w:type="character" w:customStyle="1" w:styleId="1Char">
    <w:name w:val="标题 1 Char"/>
    <w:link w:val="1"/>
    <w:uiPriority w:val="9"/>
    <w:locked/>
    <w:rPr>
      <w:b/>
      <w:bCs/>
      <w:kern w:val="44"/>
      <w:sz w:val="44"/>
      <w:szCs w:val="44"/>
    </w:rPr>
  </w:style>
  <w:style w:type="character" w:customStyle="1" w:styleId="2Char">
    <w:name w:val="标题 2 Char"/>
    <w:link w:val="2"/>
    <w:uiPriority w:val="9"/>
    <w:locked/>
    <w:rPr>
      <w:rFonts w:ascii="Cambria" w:eastAsia="宋体" w:hAnsi="Cambria" w:cs="Times New Roman" w:hint="default"/>
      <w:b/>
      <w:bCs/>
      <w:kern w:val="2"/>
      <w:sz w:val="32"/>
      <w:szCs w:val="32"/>
    </w:rPr>
  </w:style>
  <w:style w:type="character" w:customStyle="1" w:styleId="3Char">
    <w:name w:val="标题 3 Char"/>
    <w:link w:val="3"/>
    <w:uiPriority w:val="9"/>
    <w:locked/>
    <w:rPr>
      <w:b/>
      <w:bCs/>
      <w:kern w:val="2"/>
      <w:sz w:val="32"/>
      <w:szCs w:val="32"/>
    </w:rPr>
  </w:style>
  <w:style w:type="character" w:customStyle="1" w:styleId="4Char">
    <w:name w:val="标题 4 Char"/>
    <w:link w:val="4"/>
    <w:locked/>
    <w:rPr>
      <w:rFonts w:ascii="Cambria" w:eastAsia="宋体" w:hAnsi="Cambria" w:cs="Times New Roman" w:hint="default"/>
      <w:b/>
      <w:bCs/>
      <w:kern w:val="2"/>
      <w:sz w:val="24"/>
      <w:szCs w:val="24"/>
    </w:rPr>
  </w:style>
  <w:style w:type="character" w:customStyle="1" w:styleId="5Char">
    <w:name w:val="标题 5 Char"/>
    <w:link w:val="5"/>
    <w:uiPriority w:val="9"/>
    <w:semiHidden/>
    <w:locked/>
    <w:rPr>
      <w:b/>
      <w:bCs/>
      <w:kern w:val="2"/>
      <w:sz w:val="24"/>
      <w:szCs w:val="24"/>
    </w:rPr>
  </w:style>
  <w:style w:type="character" w:customStyle="1" w:styleId="6Char">
    <w:name w:val="标题 6 Char"/>
    <w:link w:val="6"/>
    <w:uiPriority w:val="9"/>
    <w:semiHidden/>
    <w:locked/>
    <w:rPr>
      <w:rFonts w:ascii="Cambria" w:eastAsia="宋体" w:hAnsi="Cambria" w:cs="Times New Roman" w:hint="default"/>
      <w:b/>
      <w:bCs/>
      <w:kern w:val="2"/>
      <w:sz w:val="24"/>
      <w:szCs w:val="24"/>
    </w:rPr>
  </w:style>
  <w:style w:type="character" w:customStyle="1" w:styleId="Char0">
    <w:name w:val="脚注文本 Char"/>
    <w:link w:val="a6"/>
    <w:locked/>
    <w:rPr>
      <w:kern w:val="2"/>
      <w:sz w:val="18"/>
      <w:szCs w:val="18"/>
    </w:rPr>
  </w:style>
  <w:style w:type="character" w:customStyle="1" w:styleId="Char1">
    <w:name w:val="页眉 Char"/>
    <w:link w:val="a8"/>
    <w:uiPriority w:val="99"/>
    <w:locked/>
    <w:rPr>
      <w:kern w:val="2"/>
      <w:sz w:val="18"/>
      <w:szCs w:val="18"/>
    </w:rPr>
  </w:style>
  <w:style w:type="character" w:customStyle="1" w:styleId="Char2">
    <w:name w:val="页脚 Char"/>
    <w:link w:val="aa"/>
    <w:uiPriority w:val="99"/>
    <w:locked/>
    <w:rPr>
      <w:kern w:val="2"/>
      <w:sz w:val="18"/>
      <w:szCs w:val="18"/>
    </w:rPr>
  </w:style>
  <w:style w:type="character" w:customStyle="1" w:styleId="Char3">
    <w:name w:val="标题 Char"/>
    <w:link w:val="ac"/>
    <w:uiPriority w:val="10"/>
    <w:locked/>
    <w:rPr>
      <w:rFonts w:ascii="Cambria" w:hAnsi="Cambria" w:cs="Times New Roman" w:hint="default"/>
      <w:b/>
      <w:bCs/>
      <w:kern w:val="2"/>
      <w:sz w:val="32"/>
      <w:szCs w:val="32"/>
    </w:rPr>
  </w:style>
  <w:style w:type="character" w:customStyle="1" w:styleId="Char4">
    <w:name w:val="副标题 Char"/>
    <w:link w:val="ae"/>
    <w:locked/>
    <w:rPr>
      <w:rFonts w:ascii="Cambria" w:hAnsi="Cambria" w:cs="Times New Roman" w:hint="default"/>
      <w:b/>
      <w:bCs/>
      <w:kern w:val="24"/>
      <w:sz w:val="32"/>
      <w:szCs w:val="32"/>
    </w:rPr>
  </w:style>
  <w:style w:type="character" w:customStyle="1" w:styleId="Char5">
    <w:name w:val="日期 Char"/>
    <w:link w:val="af0"/>
    <w:locked/>
    <w:rPr>
      <w:kern w:val="2"/>
      <w:sz w:val="21"/>
    </w:rPr>
  </w:style>
  <w:style w:type="character" w:customStyle="1" w:styleId="Char6">
    <w:name w:val="文档结构图 Char"/>
    <w:link w:val="af2"/>
    <w:locked/>
    <w:rPr>
      <w:rFonts w:ascii="宋体" w:eastAsia="宋体" w:hAnsi="宋体" w:hint="eastAsia"/>
      <w:kern w:val="2"/>
      <w:sz w:val="18"/>
      <w:szCs w:val="18"/>
    </w:rPr>
  </w:style>
  <w:style w:type="character" w:customStyle="1" w:styleId="Char7">
    <w:name w:val="批注框文本 Char"/>
    <w:link w:val="af4"/>
    <w:uiPriority w:val="99"/>
    <w:semiHidden/>
    <w:locked/>
    <w:rPr>
      <w:kern w:val="2"/>
      <w:sz w:val="18"/>
      <w:szCs w:val="18"/>
    </w:rPr>
  </w:style>
  <w:style w:type="character" w:customStyle="1" w:styleId="11">
    <w:name w:val="标题 1 字符1"/>
    <w:link w:val="1"/>
    <w:uiPriority w:val="9"/>
    <w:locked/>
    <w:rPr>
      <w:b/>
      <w:bCs/>
      <w:kern w:val="44"/>
      <w:sz w:val="44"/>
      <w:szCs w:val="44"/>
    </w:rPr>
  </w:style>
  <w:style w:type="character" w:customStyle="1" w:styleId="21">
    <w:name w:val="标题 2 字符1"/>
    <w:link w:val="2"/>
    <w:uiPriority w:val="9"/>
    <w:locked/>
    <w:rPr>
      <w:rFonts w:ascii="Cambria" w:eastAsia="宋体" w:hAnsi="Cambria" w:cs="宋体" w:hint="default"/>
      <w:b/>
      <w:bCs/>
      <w:sz w:val="32"/>
      <w:szCs w:val="32"/>
    </w:rPr>
  </w:style>
  <w:style w:type="character" w:customStyle="1" w:styleId="31">
    <w:name w:val="标题 3 字符1"/>
    <w:link w:val="3"/>
    <w:uiPriority w:val="9"/>
    <w:locked/>
    <w:rPr>
      <w:b/>
      <w:bCs/>
      <w:sz w:val="32"/>
      <w:szCs w:val="32"/>
    </w:rPr>
  </w:style>
  <w:style w:type="character" w:customStyle="1" w:styleId="41">
    <w:name w:val="标题 4 字符1"/>
    <w:link w:val="4"/>
    <w:semiHidden/>
    <w:locked/>
    <w:rPr>
      <w:rFonts w:ascii="Cambria" w:eastAsia="宋体" w:hAnsi="Cambria" w:cs="宋体" w:hint="default"/>
      <w:b/>
      <w:bCs/>
      <w:sz w:val="24"/>
      <w:szCs w:val="24"/>
    </w:rPr>
  </w:style>
  <w:style w:type="character" w:customStyle="1" w:styleId="12">
    <w:name w:val="脚注文本 字符1"/>
    <w:link w:val="a6"/>
    <w:locked/>
    <w:rPr>
      <w:kern w:val="2"/>
      <w:sz w:val="18"/>
      <w:szCs w:val="18"/>
    </w:rPr>
  </w:style>
  <w:style w:type="character" w:customStyle="1" w:styleId="22">
    <w:name w:val="页眉 字符2"/>
    <w:link w:val="a8"/>
    <w:locked/>
    <w:rPr>
      <w:kern w:val="2"/>
      <w:sz w:val="18"/>
      <w:szCs w:val="18"/>
    </w:rPr>
  </w:style>
  <w:style w:type="character" w:customStyle="1" w:styleId="13">
    <w:name w:val="页脚 字符1"/>
    <w:link w:val="aa"/>
    <w:uiPriority w:val="99"/>
    <w:locked/>
    <w:rPr>
      <w:kern w:val="2"/>
      <w:sz w:val="18"/>
      <w:szCs w:val="18"/>
    </w:rPr>
  </w:style>
  <w:style w:type="character" w:customStyle="1" w:styleId="14">
    <w:name w:val="标题 字符1"/>
    <w:link w:val="ac"/>
    <w:uiPriority w:val="10"/>
    <w:locked/>
    <w:rPr>
      <w:rFonts w:ascii="Cambria" w:hAnsi="Cambria" w:cs="宋体" w:hint="default"/>
      <w:b/>
      <w:bCs/>
      <w:sz w:val="32"/>
      <w:szCs w:val="32"/>
    </w:rPr>
  </w:style>
  <w:style w:type="character" w:customStyle="1" w:styleId="15">
    <w:name w:val="副标题 字符1"/>
    <w:link w:val="ae"/>
    <w:locked/>
    <w:rPr>
      <w:rFonts w:ascii="Cambria" w:eastAsia="宋体" w:hAnsi="Cambria" w:cs="宋体" w:hint="default"/>
      <w:b/>
      <w:bCs w:val="0"/>
      <w:kern w:val="24"/>
      <w:sz w:val="24"/>
      <w:szCs w:val="32"/>
    </w:rPr>
  </w:style>
  <w:style w:type="character" w:customStyle="1" w:styleId="16">
    <w:name w:val="日期 字符1"/>
    <w:link w:val="af0"/>
    <w:locked/>
    <w:rPr>
      <w:rFonts w:ascii="宋体" w:eastAsia="宋体" w:hAnsi="宋体" w:hint="eastAsia"/>
      <w:kern w:val="2"/>
      <w:sz w:val="32"/>
    </w:rPr>
  </w:style>
  <w:style w:type="character" w:customStyle="1" w:styleId="17">
    <w:name w:val="文档结构图 字符1"/>
    <w:link w:val="af2"/>
    <w:locked/>
    <w:rPr>
      <w:rFonts w:ascii="宋体" w:eastAsia="宋体" w:hAnsi="宋体" w:hint="eastAsia"/>
      <w:kern w:val="2"/>
      <w:sz w:val="18"/>
      <w:szCs w:val="18"/>
    </w:rPr>
  </w:style>
  <w:style w:type="character" w:customStyle="1" w:styleId="18">
    <w:name w:val="批注框文本 字符1"/>
    <w:link w:val="af4"/>
    <w:uiPriority w:val="99"/>
    <w:semiHidden/>
    <w:locked/>
    <w:rPr>
      <w:kern w:val="2"/>
      <w:sz w:val="18"/>
      <w:szCs w:val="18"/>
    </w:rPr>
  </w:style>
  <w:style w:type="character" w:customStyle="1" w:styleId="51">
    <w:name w:val="标题 5 字符1"/>
    <w:link w:val="5"/>
    <w:uiPriority w:val="9"/>
    <w:semiHidden/>
    <w:locked/>
    <w:rPr>
      <w:b/>
      <w:bCs/>
      <w:kern w:val="2"/>
      <w:sz w:val="24"/>
      <w:szCs w:val="24"/>
    </w:rPr>
  </w:style>
  <w:style w:type="character" w:customStyle="1" w:styleId="61">
    <w:name w:val="标题 6 字符1"/>
    <w:link w:val="6"/>
    <w:uiPriority w:val="9"/>
    <w:semiHidden/>
    <w:locked/>
    <w:rPr>
      <w:rFonts w:ascii="Cambria" w:eastAsia="宋体" w:hAnsi="Cambria" w:cs="Times New Roman" w:hint="default"/>
      <w:b/>
      <w:bCs/>
      <w:kern w:val="2"/>
      <w:sz w:val="24"/>
      <w:szCs w:val="24"/>
    </w:rPr>
  </w:style>
  <w:style w:type="character" w:customStyle="1" w:styleId="19">
    <w:name w:val="页眉 字符1"/>
    <w:locked/>
    <w:rPr>
      <w:kern w:val="2"/>
      <w:sz w:val="18"/>
      <w:szCs w:val="18"/>
    </w:rPr>
  </w:style>
  <w:style w:type="table" w:styleId="af8">
    <w:name w:val="Table Grid"/>
    <w:basedOn w:val="a1"/>
    <w:uiPriority w:val="59"/>
    <w:semiHidden/>
    <w:unhideWhenUsed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0">
    <w:name w:val="页眉 Char1"/>
    <w:locked/>
    <w:rPr>
      <w:kern w:val="2"/>
      <w:sz w:val="18"/>
      <w:szCs w:val="18"/>
    </w:rPr>
  </w:style>
  <w:style w:type="character" w:customStyle="1" w:styleId="Char11">
    <w:name w:val="页脚 Char1"/>
    <w:uiPriority w:val="99"/>
    <w:locked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424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  <w:doNotRelyOnCSS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AFF22-10B2-4EFD-BCF6-8EE99F563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1167</Characters>
  <Application>Microsoft Office Word</Application>
  <DocSecurity>4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yss</dc:creator>
  <cp:keywords/>
  <dc:description/>
  <cp:lastModifiedBy>ZHONGM</cp:lastModifiedBy>
  <cp:revision>2</cp:revision>
  <dcterms:created xsi:type="dcterms:W3CDTF">2024-04-03T16:00:00Z</dcterms:created>
  <dcterms:modified xsi:type="dcterms:W3CDTF">2024-04-03T16:00:00Z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2052-9.1.0.5113</vt:lpwstr>
  </property>
</Properties>
</file>