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C3" w:rsidRDefault="005F4BDB">
      <w:pPr>
        <w:pStyle w:val="1"/>
        <w:widowControl w:val="0"/>
        <w:spacing w:before="0" w:after="0" w:line="360" w:lineRule="auto"/>
        <w:jc w:val="center"/>
        <w:rPr>
          <w:rFonts w:ascii="Times New Roman" w:eastAsia="宋体" w:hAnsi="Times New Roman" w:cs="Times New Roman"/>
          <w:b w:val="0"/>
          <w:bCs w:val="0"/>
          <w:kern w:val="0"/>
          <w:sz w:val="30"/>
          <w:szCs w:val="20"/>
        </w:rPr>
      </w:pPr>
      <w:r>
        <w:rPr>
          <w:rFonts w:ascii="Times New Roman" w:eastAsia="宋体" w:hAnsi="Times New Roman" w:cs="Times New Roman"/>
          <w:bCs w:val="0"/>
          <w:kern w:val="0"/>
          <w:sz w:val="30"/>
          <w:szCs w:val="20"/>
        </w:rPr>
        <w:t>关于</w:t>
      </w:r>
      <w:r w:rsidR="003656A6">
        <w:rPr>
          <w:rFonts w:ascii="Times New Roman" w:eastAsia="宋体" w:hAnsi="Times New Roman" w:cs="Times New Roman" w:hint="eastAsia"/>
          <w:bCs w:val="0"/>
          <w:kern w:val="0"/>
          <w:sz w:val="30"/>
          <w:szCs w:val="20"/>
        </w:rPr>
        <w:t>东兴未来价值灵活配置混合</w:t>
      </w:r>
      <w:r>
        <w:rPr>
          <w:rFonts w:ascii="Times New Roman" w:eastAsia="宋体" w:hAnsi="Times New Roman" w:cs="Times New Roman" w:hint="eastAsia"/>
          <w:bCs w:val="0"/>
          <w:kern w:val="0"/>
          <w:sz w:val="30"/>
          <w:szCs w:val="20"/>
        </w:rPr>
        <w:t>型证券投资基金</w:t>
      </w:r>
      <w:r>
        <w:rPr>
          <w:rFonts w:ascii="Times New Roman" w:eastAsia="宋体" w:hAnsi="Times New Roman" w:cs="Times New Roman"/>
          <w:bCs w:val="0"/>
          <w:kern w:val="0"/>
          <w:sz w:val="30"/>
          <w:szCs w:val="20"/>
        </w:rPr>
        <w:t>证券交易模式转换完成的公告</w:t>
      </w:r>
    </w:p>
    <w:p w:rsidR="00B907C3" w:rsidRDefault="00B907C3"/>
    <w:p w:rsidR="00B907C3" w:rsidRDefault="005F4BDB">
      <w:pPr>
        <w:widowControl w:val="0"/>
        <w:ind w:firstLineChars="200" w:firstLine="480"/>
        <w:jc w:val="both"/>
        <w:rPr>
          <w:rFonts w:ascii="Times New Roman" w:eastAsia="宋体" w:hAnsi="Times New Roman" w:cs="Times New Roman"/>
          <w:bCs/>
          <w:szCs w:val="20"/>
        </w:rPr>
      </w:pPr>
      <w:r>
        <w:rPr>
          <w:rFonts w:ascii="Times New Roman" w:eastAsia="宋体" w:hAnsi="Times New Roman" w:cs="Times New Roman" w:hint="eastAsia"/>
          <w:bCs/>
          <w:szCs w:val="20"/>
        </w:rPr>
        <w:t>为了更好地满足广大投资者的理财需求，东兴基金管理有限公司（以下简称“我公司”</w:t>
      </w:r>
      <w:r w:rsidR="008238E6">
        <w:rPr>
          <w:rFonts w:ascii="Times New Roman" w:eastAsia="宋体" w:hAnsi="Times New Roman" w:cs="Times New Roman" w:hint="eastAsia"/>
          <w:bCs/>
          <w:szCs w:val="20"/>
        </w:rPr>
        <w:t>或“本基金管理人”</w:t>
      </w:r>
      <w:r>
        <w:rPr>
          <w:rFonts w:ascii="Times New Roman" w:eastAsia="宋体" w:hAnsi="Times New Roman" w:cs="Times New Roman" w:hint="eastAsia"/>
          <w:bCs/>
          <w:szCs w:val="20"/>
        </w:rPr>
        <w:t>）根据《中华人民共和国证券投资基金法》、《公开募集证券投资基金运作管理办法》的有关规定、《</w:t>
      </w:r>
      <w:r w:rsidR="003656A6">
        <w:rPr>
          <w:rFonts w:ascii="Times New Roman" w:eastAsia="宋体" w:hAnsi="Times New Roman" w:cs="Times New Roman" w:hint="eastAsia"/>
          <w:bCs/>
          <w:szCs w:val="20"/>
        </w:rPr>
        <w:t>东兴未来价值灵活配置混合</w:t>
      </w:r>
      <w:r>
        <w:rPr>
          <w:rFonts w:ascii="Times New Roman" w:eastAsia="宋体" w:hAnsi="Times New Roman" w:cs="Times New Roman" w:hint="eastAsia"/>
          <w:bCs/>
          <w:szCs w:val="20"/>
        </w:rPr>
        <w:t>型证券投资基金基金合同》和《</w:t>
      </w:r>
      <w:r w:rsidR="003656A6">
        <w:rPr>
          <w:rFonts w:ascii="Times New Roman" w:eastAsia="宋体" w:hAnsi="Times New Roman" w:cs="Times New Roman" w:hint="eastAsia"/>
          <w:bCs/>
          <w:szCs w:val="20"/>
        </w:rPr>
        <w:t>东兴未来价值灵活配置混合</w:t>
      </w:r>
      <w:r>
        <w:rPr>
          <w:rFonts w:ascii="Times New Roman" w:eastAsia="宋体" w:hAnsi="Times New Roman" w:cs="Times New Roman" w:hint="eastAsia"/>
          <w:bCs/>
          <w:szCs w:val="20"/>
        </w:rPr>
        <w:t>型证券投资基金托管协议》（以下简称“《托管协议》”）的约定，经与基金托管人</w:t>
      </w:r>
      <w:r w:rsidR="003656A6">
        <w:rPr>
          <w:rFonts w:ascii="Times New Roman" w:eastAsia="宋体" w:hAnsi="Times New Roman" w:cs="Times New Roman" w:hint="eastAsia"/>
          <w:bCs/>
          <w:szCs w:val="20"/>
        </w:rPr>
        <w:t>兴业银</w:t>
      </w:r>
      <w:bookmarkStart w:id="0" w:name="_GoBack"/>
      <w:bookmarkEnd w:id="0"/>
      <w:r w:rsidR="003656A6">
        <w:rPr>
          <w:rFonts w:ascii="Times New Roman" w:eastAsia="宋体" w:hAnsi="Times New Roman" w:cs="Times New Roman" w:hint="eastAsia"/>
          <w:bCs/>
          <w:szCs w:val="20"/>
        </w:rPr>
        <w:t>行股份有限公司</w:t>
      </w:r>
      <w:r>
        <w:rPr>
          <w:rFonts w:ascii="Times New Roman" w:eastAsia="宋体" w:hAnsi="Times New Roman" w:cs="Times New Roman" w:hint="eastAsia"/>
          <w:bCs/>
          <w:szCs w:val="20"/>
        </w:rPr>
        <w:t>协商一致，决定转换</w:t>
      </w:r>
      <w:r w:rsidR="003656A6">
        <w:rPr>
          <w:rFonts w:ascii="Times New Roman" w:eastAsia="宋体" w:hAnsi="Times New Roman" w:cs="Times New Roman" w:hint="eastAsia"/>
          <w:bCs/>
          <w:szCs w:val="20"/>
        </w:rPr>
        <w:t>东兴未来价值灵活配置混合</w:t>
      </w:r>
      <w:r>
        <w:rPr>
          <w:rFonts w:ascii="Times New Roman" w:eastAsia="宋体" w:hAnsi="Times New Roman" w:cs="Times New Roman" w:hint="eastAsia"/>
          <w:bCs/>
          <w:szCs w:val="20"/>
        </w:rPr>
        <w:t>型证券投资基金（以下简称“本基金”）的证券交易模式并修订</w:t>
      </w:r>
      <w:r w:rsidR="00BD3808" w:rsidRPr="00BD3808">
        <w:rPr>
          <w:rFonts w:ascii="Times New Roman" w:eastAsia="宋体" w:hAnsi="Times New Roman" w:cs="Times New Roman" w:hint="eastAsia"/>
          <w:bCs/>
          <w:szCs w:val="20"/>
        </w:rPr>
        <w:t>《</w:t>
      </w:r>
      <w:r>
        <w:rPr>
          <w:rFonts w:ascii="Times New Roman" w:eastAsia="宋体" w:hAnsi="Times New Roman" w:cs="Times New Roman" w:hint="eastAsia"/>
          <w:bCs/>
          <w:szCs w:val="20"/>
        </w:rPr>
        <w:t>托管协议</w:t>
      </w:r>
      <w:r w:rsidR="00BD3808" w:rsidRPr="00BD3808">
        <w:rPr>
          <w:rFonts w:ascii="Times New Roman" w:eastAsia="宋体" w:hAnsi="Times New Roman" w:cs="Times New Roman" w:hint="eastAsia"/>
          <w:bCs/>
          <w:szCs w:val="20"/>
        </w:rPr>
        <w:t>》</w:t>
      </w:r>
      <w:r>
        <w:rPr>
          <w:rFonts w:ascii="Times New Roman" w:eastAsia="宋体" w:hAnsi="Times New Roman" w:cs="Times New Roman" w:hint="eastAsia"/>
          <w:bCs/>
          <w:szCs w:val="20"/>
        </w:rPr>
        <w:t>。本基金</w:t>
      </w:r>
      <w:r>
        <w:rPr>
          <w:rFonts w:ascii="Times New Roman" w:eastAsia="宋体" w:hAnsi="Times New Roman" w:cs="Times New Roman"/>
          <w:bCs/>
          <w:szCs w:val="20"/>
        </w:rPr>
        <w:t>于</w:t>
      </w:r>
      <w:r w:rsidR="00C30A3B">
        <w:rPr>
          <w:rFonts w:ascii="Times New Roman" w:eastAsia="宋体" w:hAnsi="Times New Roman" w:cs="Times New Roman"/>
          <w:bCs/>
          <w:szCs w:val="20"/>
        </w:rPr>
        <w:t>2024</w:t>
      </w:r>
      <w:r>
        <w:rPr>
          <w:rFonts w:ascii="Times New Roman" w:eastAsia="宋体" w:hAnsi="Times New Roman" w:cs="Times New Roman" w:hint="eastAsia"/>
          <w:bCs/>
          <w:szCs w:val="20"/>
        </w:rPr>
        <w:t>年</w:t>
      </w:r>
      <w:r w:rsidR="00692031">
        <w:rPr>
          <w:rFonts w:ascii="Times New Roman" w:eastAsia="宋体" w:hAnsi="Times New Roman" w:cs="Times New Roman" w:hint="eastAsia"/>
          <w:bCs/>
          <w:szCs w:val="20"/>
        </w:rPr>
        <w:t>3</w:t>
      </w:r>
      <w:r>
        <w:rPr>
          <w:rFonts w:ascii="Times New Roman" w:eastAsia="宋体" w:hAnsi="Times New Roman" w:cs="Times New Roman" w:hint="eastAsia"/>
          <w:bCs/>
          <w:szCs w:val="20"/>
        </w:rPr>
        <w:t>月</w:t>
      </w:r>
      <w:r w:rsidR="00692031">
        <w:rPr>
          <w:rFonts w:ascii="Times New Roman" w:eastAsia="宋体" w:hAnsi="Times New Roman" w:cs="Times New Roman" w:hint="eastAsia"/>
          <w:bCs/>
          <w:szCs w:val="20"/>
        </w:rPr>
        <w:t>12</w:t>
      </w:r>
      <w:r>
        <w:rPr>
          <w:rFonts w:ascii="Times New Roman" w:eastAsia="宋体" w:hAnsi="Times New Roman" w:cs="Times New Roman" w:hint="eastAsia"/>
          <w:bCs/>
          <w:szCs w:val="20"/>
        </w:rPr>
        <w:t>日</w:t>
      </w:r>
      <w:r>
        <w:rPr>
          <w:rFonts w:ascii="Times New Roman" w:eastAsia="宋体" w:hAnsi="Times New Roman" w:cs="Times New Roman"/>
          <w:bCs/>
          <w:szCs w:val="20"/>
        </w:rPr>
        <w:t>启动了本基金证券交易模式的转换工作，</w:t>
      </w:r>
      <w:r w:rsidRPr="00A161D2">
        <w:rPr>
          <w:rFonts w:ascii="Times New Roman" w:eastAsia="宋体" w:hAnsi="Times New Roman" w:cs="Times New Roman" w:hint="eastAsia"/>
          <w:bCs/>
          <w:szCs w:val="20"/>
        </w:rPr>
        <w:t>上述转换工作已于</w:t>
      </w:r>
      <w:r w:rsidR="00C30A3B" w:rsidRPr="00A161D2">
        <w:rPr>
          <w:rFonts w:ascii="Times New Roman" w:eastAsia="宋体" w:hAnsi="Times New Roman" w:cs="Times New Roman"/>
          <w:bCs/>
          <w:szCs w:val="20"/>
        </w:rPr>
        <w:t>2024</w:t>
      </w:r>
      <w:r w:rsidRPr="00A161D2">
        <w:rPr>
          <w:rFonts w:ascii="Times New Roman" w:eastAsia="宋体" w:hAnsi="Times New Roman" w:cs="Times New Roman" w:hint="eastAsia"/>
          <w:bCs/>
          <w:szCs w:val="20"/>
        </w:rPr>
        <w:t>年</w:t>
      </w:r>
      <w:r w:rsidR="00FE5F5E" w:rsidRPr="00A161D2">
        <w:rPr>
          <w:rFonts w:ascii="Times New Roman" w:eastAsia="宋体" w:hAnsi="Times New Roman" w:cs="Times New Roman"/>
          <w:bCs/>
          <w:szCs w:val="20"/>
        </w:rPr>
        <w:t>4</w:t>
      </w:r>
      <w:r w:rsidRPr="00A161D2">
        <w:rPr>
          <w:rFonts w:ascii="Times New Roman" w:eastAsia="宋体" w:hAnsi="Times New Roman" w:cs="Times New Roman" w:hint="eastAsia"/>
          <w:bCs/>
          <w:szCs w:val="20"/>
        </w:rPr>
        <w:t>月</w:t>
      </w:r>
      <w:r w:rsidR="00A161D2" w:rsidRPr="00A161D2">
        <w:rPr>
          <w:rFonts w:ascii="Times New Roman" w:eastAsia="宋体" w:hAnsi="Times New Roman" w:cs="Times New Roman" w:hint="eastAsia"/>
          <w:bCs/>
          <w:szCs w:val="20"/>
        </w:rPr>
        <w:t>2</w:t>
      </w:r>
      <w:r w:rsidRPr="00A161D2">
        <w:rPr>
          <w:rFonts w:ascii="Times New Roman" w:eastAsia="宋体" w:hAnsi="Times New Roman" w:cs="Times New Roman" w:hint="eastAsia"/>
          <w:bCs/>
          <w:szCs w:val="20"/>
        </w:rPr>
        <w:t>日完成，修订后的</w:t>
      </w:r>
      <w:r w:rsidR="00BD3808" w:rsidRPr="00A161D2">
        <w:rPr>
          <w:rFonts w:ascii="Times New Roman" w:eastAsia="宋体" w:hAnsi="Times New Roman" w:cs="Times New Roman" w:hint="eastAsia"/>
          <w:bCs/>
          <w:szCs w:val="20"/>
        </w:rPr>
        <w:t>《</w:t>
      </w:r>
      <w:r w:rsidRPr="00A161D2">
        <w:rPr>
          <w:rFonts w:ascii="Times New Roman" w:eastAsia="宋体" w:hAnsi="Times New Roman" w:cs="Times New Roman" w:hint="eastAsia"/>
          <w:bCs/>
          <w:szCs w:val="20"/>
        </w:rPr>
        <w:t>托管协议</w:t>
      </w:r>
      <w:r w:rsidR="00BD3808" w:rsidRPr="00A161D2">
        <w:rPr>
          <w:rFonts w:ascii="Times New Roman" w:eastAsia="宋体" w:hAnsi="Times New Roman" w:cs="Times New Roman" w:hint="eastAsia"/>
          <w:bCs/>
          <w:szCs w:val="20"/>
        </w:rPr>
        <w:t>》</w:t>
      </w:r>
      <w:r w:rsidRPr="00A161D2">
        <w:rPr>
          <w:rFonts w:ascii="Times New Roman" w:eastAsia="宋体" w:hAnsi="Times New Roman" w:cs="Times New Roman" w:hint="eastAsia"/>
          <w:bCs/>
          <w:szCs w:val="20"/>
        </w:rPr>
        <w:t>自</w:t>
      </w:r>
      <w:r w:rsidR="00C30A3B" w:rsidRPr="00A161D2">
        <w:rPr>
          <w:rFonts w:ascii="Times New Roman" w:eastAsia="宋体" w:hAnsi="Times New Roman" w:cs="Times New Roman"/>
          <w:bCs/>
          <w:szCs w:val="20"/>
        </w:rPr>
        <w:t>2024</w:t>
      </w:r>
      <w:r w:rsidRPr="00A161D2">
        <w:rPr>
          <w:rFonts w:ascii="Times New Roman" w:eastAsia="宋体" w:hAnsi="Times New Roman" w:cs="Times New Roman" w:hint="eastAsia"/>
          <w:bCs/>
          <w:szCs w:val="20"/>
        </w:rPr>
        <w:t>年</w:t>
      </w:r>
      <w:r w:rsidR="00FE5F5E" w:rsidRPr="00A161D2">
        <w:rPr>
          <w:rFonts w:ascii="Times New Roman" w:eastAsia="宋体" w:hAnsi="Times New Roman" w:cs="Times New Roman"/>
          <w:bCs/>
          <w:szCs w:val="20"/>
        </w:rPr>
        <w:t>4</w:t>
      </w:r>
      <w:r w:rsidRPr="00A161D2">
        <w:rPr>
          <w:rFonts w:ascii="Times New Roman" w:eastAsia="宋体" w:hAnsi="Times New Roman" w:cs="Times New Roman" w:hint="eastAsia"/>
          <w:bCs/>
          <w:szCs w:val="20"/>
        </w:rPr>
        <w:t>月</w:t>
      </w:r>
      <w:r w:rsidR="00A161D2" w:rsidRPr="00A161D2">
        <w:rPr>
          <w:rFonts w:ascii="Times New Roman" w:eastAsia="宋体" w:hAnsi="Times New Roman" w:cs="Times New Roman" w:hint="eastAsia"/>
          <w:bCs/>
          <w:szCs w:val="20"/>
        </w:rPr>
        <w:t>2</w:t>
      </w:r>
      <w:r w:rsidRPr="00A161D2">
        <w:rPr>
          <w:rFonts w:ascii="Times New Roman" w:eastAsia="宋体" w:hAnsi="Times New Roman" w:cs="Times New Roman" w:hint="eastAsia"/>
          <w:bCs/>
          <w:szCs w:val="20"/>
        </w:rPr>
        <w:t>日起生效</w:t>
      </w:r>
      <w:r>
        <w:rPr>
          <w:rFonts w:ascii="Times New Roman" w:eastAsia="宋体" w:hAnsi="Times New Roman" w:cs="Times New Roman"/>
          <w:bCs/>
          <w:szCs w:val="20"/>
        </w:rPr>
        <w:t>。</w:t>
      </w:r>
    </w:p>
    <w:p w:rsidR="00B907C3" w:rsidRDefault="005F4BDB">
      <w:pPr>
        <w:widowControl w:val="0"/>
        <w:ind w:firstLineChars="200" w:firstLine="480"/>
        <w:jc w:val="both"/>
        <w:rPr>
          <w:rFonts w:ascii="Times New Roman" w:eastAsia="宋体" w:hAnsi="Times New Roman" w:cs="Times New Roman"/>
          <w:bCs/>
          <w:szCs w:val="20"/>
        </w:rPr>
      </w:pPr>
      <w:r>
        <w:rPr>
          <w:rFonts w:ascii="Times New Roman" w:eastAsia="宋体" w:hAnsi="Times New Roman" w:cs="Times New Roman"/>
          <w:bCs/>
          <w:szCs w:val="20"/>
        </w:rPr>
        <w:t>关于本基金证券交易模式转换的有关事项，详见</w:t>
      </w:r>
      <w:r w:rsidR="00C30A3B">
        <w:rPr>
          <w:rFonts w:ascii="Times New Roman" w:eastAsia="宋体" w:hAnsi="Times New Roman" w:cs="Times New Roman"/>
          <w:bCs/>
          <w:szCs w:val="20"/>
        </w:rPr>
        <w:t>2024</w:t>
      </w:r>
      <w:r>
        <w:rPr>
          <w:rFonts w:ascii="Times New Roman" w:eastAsia="宋体" w:hAnsi="Times New Roman" w:cs="Times New Roman" w:hint="eastAsia"/>
          <w:bCs/>
          <w:szCs w:val="20"/>
        </w:rPr>
        <w:t>年</w:t>
      </w:r>
      <w:r w:rsidR="00FE5F5E">
        <w:rPr>
          <w:rFonts w:ascii="Times New Roman" w:eastAsia="宋体" w:hAnsi="Times New Roman" w:cs="Times New Roman" w:hint="eastAsia"/>
          <w:bCs/>
          <w:szCs w:val="20"/>
        </w:rPr>
        <w:t>3</w:t>
      </w:r>
      <w:r>
        <w:rPr>
          <w:rFonts w:ascii="Times New Roman" w:eastAsia="宋体" w:hAnsi="Times New Roman" w:cs="Times New Roman" w:hint="eastAsia"/>
          <w:bCs/>
          <w:szCs w:val="20"/>
        </w:rPr>
        <w:t>月</w:t>
      </w:r>
      <w:r w:rsidR="00FE5F5E">
        <w:rPr>
          <w:rFonts w:ascii="Times New Roman" w:eastAsia="宋体" w:hAnsi="Times New Roman" w:cs="Times New Roman" w:hint="eastAsia"/>
          <w:bCs/>
          <w:szCs w:val="20"/>
        </w:rPr>
        <w:t>12</w:t>
      </w:r>
      <w:r>
        <w:rPr>
          <w:rFonts w:ascii="Times New Roman" w:eastAsia="宋体" w:hAnsi="Times New Roman" w:cs="Times New Roman" w:hint="eastAsia"/>
          <w:bCs/>
          <w:szCs w:val="20"/>
        </w:rPr>
        <w:t>日</w:t>
      </w:r>
      <w:r>
        <w:rPr>
          <w:rFonts w:ascii="Times New Roman" w:eastAsia="宋体" w:hAnsi="Times New Roman" w:cs="Times New Roman"/>
          <w:bCs/>
          <w:szCs w:val="20"/>
        </w:rPr>
        <w:t>披露的《</w:t>
      </w:r>
      <w:r w:rsidR="003656A6">
        <w:rPr>
          <w:rFonts w:ascii="Times New Roman" w:eastAsia="宋体" w:hAnsi="Times New Roman" w:cs="Times New Roman" w:hint="eastAsia"/>
          <w:bCs/>
          <w:szCs w:val="20"/>
        </w:rPr>
        <w:t>东兴未来价值灵活配置混合</w:t>
      </w:r>
      <w:r>
        <w:rPr>
          <w:rFonts w:ascii="Times New Roman" w:eastAsia="宋体" w:hAnsi="Times New Roman" w:cs="Times New Roman" w:hint="eastAsia"/>
          <w:bCs/>
          <w:szCs w:val="20"/>
        </w:rPr>
        <w:t>型证券投资基金证券交易模式转换有关事项的公告</w:t>
      </w:r>
      <w:r>
        <w:rPr>
          <w:rFonts w:ascii="Times New Roman" w:eastAsia="宋体" w:hAnsi="Times New Roman" w:cs="Times New Roman"/>
          <w:bCs/>
          <w:szCs w:val="20"/>
        </w:rPr>
        <w:t>》。</w:t>
      </w:r>
    </w:p>
    <w:p w:rsidR="00B907C3" w:rsidRDefault="005F4BDB">
      <w:pPr>
        <w:widowControl w:val="0"/>
        <w:ind w:firstLineChars="200" w:firstLine="480"/>
        <w:jc w:val="both"/>
        <w:rPr>
          <w:rFonts w:ascii="Times New Roman" w:eastAsia="宋体" w:hAnsi="Times New Roman" w:cs="Times New Roman"/>
          <w:bCs/>
          <w:szCs w:val="20"/>
        </w:rPr>
      </w:pPr>
      <w:r>
        <w:rPr>
          <w:rFonts w:ascii="Times New Roman" w:eastAsia="宋体" w:hAnsi="Times New Roman" w:cs="Times New Roman" w:hint="eastAsia"/>
          <w:bCs/>
          <w:szCs w:val="20"/>
        </w:rPr>
        <w:t>本公告未尽事宜，敬请投资者参见《</w:t>
      </w:r>
      <w:r w:rsidR="003656A6">
        <w:rPr>
          <w:rFonts w:ascii="Times New Roman" w:eastAsia="宋体" w:hAnsi="Times New Roman" w:cs="Times New Roman" w:hint="eastAsia"/>
          <w:bCs/>
          <w:szCs w:val="20"/>
        </w:rPr>
        <w:t>东兴未来价值灵活配置混合</w:t>
      </w:r>
      <w:r>
        <w:rPr>
          <w:rFonts w:ascii="Times New Roman" w:eastAsia="宋体" w:hAnsi="Times New Roman" w:cs="Times New Roman" w:hint="eastAsia"/>
          <w:bCs/>
          <w:szCs w:val="20"/>
        </w:rPr>
        <w:t>型证券投资基金基金合同》、《</w:t>
      </w:r>
      <w:r>
        <w:rPr>
          <w:rFonts w:ascii="Calibri" w:eastAsia="宋体" w:hAnsi="Calibri" w:cs="Times New Roman"/>
          <w:bCs/>
          <w:szCs w:val="22"/>
        </w:rPr>
        <w:t>托管协议</w:t>
      </w:r>
      <w:r>
        <w:rPr>
          <w:rFonts w:ascii="Times New Roman" w:eastAsia="宋体" w:hAnsi="Times New Roman" w:cs="Times New Roman" w:hint="eastAsia"/>
          <w:bCs/>
          <w:szCs w:val="20"/>
        </w:rPr>
        <w:t>》</w:t>
      </w:r>
      <w:r>
        <w:rPr>
          <w:rFonts w:ascii="Calibri" w:eastAsia="宋体" w:hAnsi="Calibri" w:cs="Times New Roman"/>
          <w:bCs/>
          <w:szCs w:val="22"/>
        </w:rPr>
        <w:t>、</w:t>
      </w:r>
      <w:r>
        <w:rPr>
          <w:rFonts w:ascii="Times New Roman" w:eastAsia="宋体" w:hAnsi="Times New Roman" w:cs="Times New Roman" w:hint="eastAsia"/>
          <w:bCs/>
          <w:szCs w:val="20"/>
        </w:rPr>
        <w:t>《</w:t>
      </w:r>
      <w:r w:rsidR="003656A6">
        <w:rPr>
          <w:rFonts w:ascii="Times New Roman" w:eastAsia="宋体" w:hAnsi="Times New Roman" w:cs="Times New Roman" w:hint="eastAsia"/>
          <w:bCs/>
          <w:szCs w:val="20"/>
        </w:rPr>
        <w:t>东兴未来价值灵活配置混合</w:t>
      </w:r>
      <w:r>
        <w:rPr>
          <w:rFonts w:ascii="Times New Roman" w:eastAsia="宋体" w:hAnsi="Times New Roman" w:cs="Times New Roman" w:hint="eastAsia"/>
          <w:bCs/>
          <w:szCs w:val="20"/>
        </w:rPr>
        <w:t>型证券投资基金招募说明书》及其更新等相关的文件。</w:t>
      </w:r>
    </w:p>
    <w:p w:rsidR="00B907C3" w:rsidRDefault="005F4BDB" w:rsidP="00866B49">
      <w:pPr>
        <w:widowControl w:val="0"/>
        <w:ind w:firstLineChars="200" w:firstLine="480"/>
        <w:jc w:val="both"/>
        <w:rPr>
          <w:rFonts w:ascii="Times New Roman" w:eastAsia="宋体" w:hAnsi="Times New Roman" w:cs="Times New Roman"/>
          <w:bCs/>
          <w:szCs w:val="20"/>
        </w:rPr>
      </w:pPr>
      <w:r>
        <w:rPr>
          <w:rFonts w:ascii="Times New Roman" w:eastAsia="宋体" w:hAnsi="Times New Roman" w:cs="Times New Roman" w:hint="eastAsia"/>
          <w:bCs/>
          <w:szCs w:val="20"/>
        </w:rPr>
        <w:t>投资者可通过本基金管理人的网站</w:t>
      </w:r>
      <w:r w:rsidR="00A36BCE">
        <w:rPr>
          <w:rFonts w:ascii="Times New Roman" w:eastAsia="宋体" w:hAnsi="Times New Roman" w:cs="Times New Roman" w:hint="eastAsia"/>
          <w:bCs/>
          <w:szCs w:val="20"/>
        </w:rPr>
        <w:t>（</w:t>
      </w:r>
      <w:r w:rsidR="00A36BCE" w:rsidRPr="00A161D2">
        <w:t>www.dxamc.cn</w:t>
      </w:r>
      <w:r w:rsidR="00A36BCE">
        <w:rPr>
          <w:rFonts w:ascii="Times New Roman" w:eastAsia="宋体" w:hAnsi="Times New Roman" w:cs="Times New Roman" w:hint="eastAsia"/>
          <w:bCs/>
          <w:szCs w:val="20"/>
        </w:rPr>
        <w:t>）</w:t>
      </w:r>
      <w:r>
        <w:rPr>
          <w:rFonts w:ascii="Times New Roman" w:eastAsia="宋体" w:hAnsi="Times New Roman" w:cs="Times New Roman" w:hint="eastAsia"/>
          <w:bCs/>
          <w:szCs w:val="20"/>
        </w:rPr>
        <w:t xml:space="preserve"> </w:t>
      </w:r>
      <w:r>
        <w:rPr>
          <w:rFonts w:ascii="Times New Roman" w:eastAsia="宋体" w:hAnsi="Times New Roman" w:cs="Times New Roman" w:hint="eastAsia"/>
          <w:bCs/>
          <w:szCs w:val="20"/>
        </w:rPr>
        <w:t>或</w:t>
      </w:r>
      <w:r>
        <w:rPr>
          <w:rFonts w:ascii="Times New Roman" w:eastAsia="宋体" w:hAnsi="Times New Roman" w:cs="Times New Roman"/>
          <w:bCs/>
          <w:szCs w:val="20"/>
        </w:rPr>
        <w:t>客户服务电话</w:t>
      </w:r>
      <w:r w:rsidR="00A36BCE">
        <w:rPr>
          <w:rFonts w:ascii="Times New Roman" w:eastAsia="宋体" w:hAnsi="Times New Roman" w:cs="Times New Roman" w:hint="eastAsia"/>
          <w:bCs/>
          <w:szCs w:val="20"/>
        </w:rPr>
        <w:t>（</w:t>
      </w:r>
      <w:r>
        <w:rPr>
          <w:rFonts w:ascii="Calibri" w:eastAsia="宋体" w:hAnsi="Calibri" w:cs="Times New Roman"/>
          <w:bCs/>
          <w:szCs w:val="22"/>
        </w:rPr>
        <w:t>400-670-1800</w:t>
      </w:r>
      <w:r w:rsidR="00A36BCE">
        <w:rPr>
          <w:rFonts w:ascii="Calibri" w:eastAsia="宋体" w:hAnsi="Calibri" w:cs="Times New Roman" w:hint="eastAsia"/>
          <w:bCs/>
          <w:szCs w:val="22"/>
        </w:rPr>
        <w:t>）</w:t>
      </w:r>
      <w:r>
        <w:rPr>
          <w:rFonts w:ascii="Times New Roman" w:eastAsia="宋体" w:hAnsi="Times New Roman" w:cs="Times New Roman"/>
          <w:bCs/>
          <w:szCs w:val="20"/>
        </w:rPr>
        <w:t>了解详情。</w:t>
      </w:r>
    </w:p>
    <w:p w:rsidR="00B907C3" w:rsidRDefault="005F4BDB">
      <w:pPr>
        <w:widowControl w:val="0"/>
        <w:ind w:firstLineChars="200" w:firstLine="480"/>
        <w:jc w:val="both"/>
        <w:rPr>
          <w:rFonts w:ascii="Times New Roman" w:eastAsia="宋体" w:hAnsi="Times New Roman" w:cs="Times New Roman"/>
          <w:bCs/>
          <w:szCs w:val="20"/>
        </w:rPr>
      </w:pPr>
      <w:r>
        <w:rPr>
          <w:rFonts w:ascii="Times New Roman" w:eastAsia="宋体" w:hAnsi="Times New Roman" w:cs="Times New Roman" w:hint="eastAsia"/>
          <w:bCs/>
          <w:szCs w:val="20"/>
        </w:rPr>
        <w:t>本公告的解释权归我公司所有。</w:t>
      </w:r>
    </w:p>
    <w:p w:rsidR="00B907C3" w:rsidRDefault="005F4BDB">
      <w:pPr>
        <w:widowControl w:val="0"/>
        <w:ind w:firstLineChars="200" w:firstLine="480"/>
        <w:jc w:val="both"/>
        <w:rPr>
          <w:rFonts w:ascii="Times New Roman" w:eastAsia="宋体" w:hAnsi="Times New Roman" w:cs="Times New Roman"/>
          <w:bCs/>
          <w:szCs w:val="20"/>
        </w:rPr>
      </w:pPr>
      <w:r>
        <w:rPr>
          <w:rFonts w:ascii="Times New Roman" w:eastAsia="宋体" w:hAnsi="Times New Roman" w:cs="Times New Roman" w:hint="eastAsia"/>
          <w:bCs/>
          <w:szCs w:val="20"/>
        </w:rPr>
        <w:t>风险提示：本基金管理人承诺以诚实信用、勤勉尽责的原则管理和运用基金财产，但不保证基金一定盈利，也不保证最低收益。</w:t>
      </w:r>
      <w:bookmarkStart w:id="1" w:name="_Hlk144059359"/>
      <w:r>
        <w:rPr>
          <w:rFonts w:ascii="Times New Roman" w:eastAsia="宋体" w:hAnsi="Times New Roman" w:cs="Times New Roman" w:hint="eastAsia"/>
          <w:bCs/>
          <w:szCs w:val="20"/>
        </w:rPr>
        <w:t>投资者购买证券投资基金并不等于将资金作为存款存放在银行或者存款类金融机构，基金的过往业绩并不代表其将来表现。投资有风险，敬请投资者认真阅读基金的相关法律文件，并选择适合自身风险承受能力的投资品种进行投资。</w:t>
      </w:r>
      <w:bookmarkEnd w:id="1"/>
    </w:p>
    <w:p w:rsidR="00B907C3" w:rsidRDefault="005F4BDB">
      <w:pPr>
        <w:widowControl w:val="0"/>
        <w:ind w:firstLineChars="200" w:firstLine="480"/>
        <w:jc w:val="both"/>
        <w:rPr>
          <w:rFonts w:ascii="Times New Roman" w:eastAsia="宋体" w:hAnsi="Times New Roman" w:cs="Times New Roman"/>
          <w:bCs/>
          <w:szCs w:val="20"/>
        </w:rPr>
      </w:pPr>
      <w:r>
        <w:rPr>
          <w:rFonts w:ascii="Times New Roman" w:eastAsia="宋体" w:hAnsi="Times New Roman" w:cs="Times New Roman" w:hint="eastAsia"/>
          <w:bCs/>
          <w:szCs w:val="20"/>
        </w:rPr>
        <w:t>特此公告。</w:t>
      </w:r>
    </w:p>
    <w:p w:rsidR="00B907C3" w:rsidRDefault="00B907C3">
      <w:pPr>
        <w:widowControl w:val="0"/>
        <w:ind w:firstLineChars="200" w:firstLine="480"/>
        <w:jc w:val="both"/>
        <w:rPr>
          <w:rFonts w:ascii="Times New Roman" w:eastAsia="宋体" w:hAnsi="Times New Roman" w:cs="Times New Roman"/>
          <w:bCs/>
          <w:szCs w:val="20"/>
        </w:rPr>
      </w:pPr>
    </w:p>
    <w:p w:rsidR="00B907C3" w:rsidRDefault="005F4BDB">
      <w:pPr>
        <w:widowControl w:val="0"/>
        <w:ind w:firstLineChars="200" w:firstLine="480"/>
        <w:jc w:val="right"/>
        <w:rPr>
          <w:rFonts w:ascii="Times New Roman" w:eastAsia="宋体" w:hAnsi="Times New Roman" w:cs="Times New Roman"/>
          <w:bCs/>
          <w:szCs w:val="20"/>
        </w:rPr>
      </w:pPr>
      <w:r>
        <w:rPr>
          <w:rFonts w:ascii="Times New Roman" w:eastAsia="宋体" w:hAnsi="Times New Roman" w:cs="Times New Roman" w:hint="eastAsia"/>
          <w:bCs/>
          <w:szCs w:val="20"/>
        </w:rPr>
        <w:t>东兴基金管理有限公司</w:t>
      </w:r>
    </w:p>
    <w:p w:rsidR="00B907C3" w:rsidRDefault="00C30A3B">
      <w:pPr>
        <w:widowControl w:val="0"/>
        <w:ind w:firstLineChars="200" w:firstLine="480"/>
        <w:jc w:val="right"/>
      </w:pPr>
      <w:r>
        <w:rPr>
          <w:rFonts w:ascii="Times New Roman" w:eastAsia="宋体" w:hAnsi="Times New Roman" w:cs="Times New Roman"/>
          <w:bCs/>
          <w:szCs w:val="20"/>
        </w:rPr>
        <w:t>2024</w:t>
      </w:r>
      <w:r w:rsidR="005F4BDB">
        <w:rPr>
          <w:rFonts w:ascii="Times New Roman" w:eastAsia="宋体" w:hAnsi="Times New Roman" w:cs="Times New Roman" w:hint="eastAsia"/>
          <w:bCs/>
          <w:szCs w:val="20"/>
        </w:rPr>
        <w:t>年</w:t>
      </w:r>
      <w:r w:rsidR="00FE5F5E">
        <w:rPr>
          <w:rFonts w:ascii="Times New Roman" w:eastAsia="宋体" w:hAnsi="Times New Roman" w:cs="Times New Roman" w:hint="eastAsia"/>
          <w:bCs/>
          <w:szCs w:val="20"/>
        </w:rPr>
        <w:t>4</w:t>
      </w:r>
      <w:r w:rsidR="005F4BDB">
        <w:rPr>
          <w:rFonts w:ascii="Times New Roman" w:eastAsia="宋体" w:hAnsi="Times New Roman" w:cs="Times New Roman" w:hint="eastAsia"/>
          <w:bCs/>
          <w:szCs w:val="20"/>
        </w:rPr>
        <w:t>月</w:t>
      </w:r>
      <w:r w:rsidR="00A161D2">
        <w:rPr>
          <w:rFonts w:ascii="Times New Roman" w:eastAsia="宋体" w:hAnsi="Times New Roman" w:cs="Times New Roman" w:hint="eastAsia"/>
          <w:bCs/>
          <w:szCs w:val="20"/>
        </w:rPr>
        <w:t>3</w:t>
      </w:r>
      <w:r w:rsidR="005F4BDB">
        <w:rPr>
          <w:rFonts w:ascii="Times New Roman" w:eastAsia="宋体" w:hAnsi="Times New Roman" w:cs="Times New Roman" w:hint="eastAsia"/>
          <w:bCs/>
          <w:szCs w:val="20"/>
        </w:rPr>
        <w:t>日</w:t>
      </w:r>
    </w:p>
    <w:sectPr w:rsidR="00B907C3" w:rsidSect="00B56A8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5156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156C9" w16cid:durableId="2896EA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55" w:rsidRDefault="00DE7155">
      <w:pPr>
        <w:spacing w:line="240" w:lineRule="auto"/>
      </w:pPr>
      <w:r>
        <w:separator/>
      </w:r>
    </w:p>
  </w:endnote>
  <w:endnote w:type="continuationSeparator" w:id="0">
    <w:p w:rsidR="00DE7155" w:rsidRDefault="00DE71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55" w:rsidRDefault="00DE7155">
      <w:r>
        <w:separator/>
      </w:r>
    </w:p>
  </w:footnote>
  <w:footnote w:type="continuationSeparator" w:id="0">
    <w:p w:rsidR="00DE7155" w:rsidRDefault="00DE71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rson w15:author="Llinks1">
    <w15:presenceInfo w15:providerId="None" w15:userId="Llinks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NlN2QwNGY5ZTc4MjM0M2ZiMWJiMGU1YzNiNGEwNGYifQ=="/>
  </w:docVars>
  <w:rsids>
    <w:rsidRoot w:val="008E4C8D"/>
    <w:rsid w:val="0004269B"/>
    <w:rsid w:val="000C4B04"/>
    <w:rsid w:val="003656A6"/>
    <w:rsid w:val="00415244"/>
    <w:rsid w:val="004E461E"/>
    <w:rsid w:val="005B6049"/>
    <w:rsid w:val="005F4BDB"/>
    <w:rsid w:val="0061419D"/>
    <w:rsid w:val="006345E9"/>
    <w:rsid w:val="00671635"/>
    <w:rsid w:val="00692031"/>
    <w:rsid w:val="006C3B39"/>
    <w:rsid w:val="008238E6"/>
    <w:rsid w:val="00866B49"/>
    <w:rsid w:val="008B066B"/>
    <w:rsid w:val="008E4C8D"/>
    <w:rsid w:val="00A10478"/>
    <w:rsid w:val="00A161D2"/>
    <w:rsid w:val="00A35B63"/>
    <w:rsid w:val="00A36BCE"/>
    <w:rsid w:val="00A61EFD"/>
    <w:rsid w:val="00AC4359"/>
    <w:rsid w:val="00AD0063"/>
    <w:rsid w:val="00B56A85"/>
    <w:rsid w:val="00B907C3"/>
    <w:rsid w:val="00BD3808"/>
    <w:rsid w:val="00BF53C8"/>
    <w:rsid w:val="00C30A3B"/>
    <w:rsid w:val="00CA7C48"/>
    <w:rsid w:val="00D47764"/>
    <w:rsid w:val="00D813EC"/>
    <w:rsid w:val="00DE7155"/>
    <w:rsid w:val="00F13B5C"/>
    <w:rsid w:val="00F20B35"/>
    <w:rsid w:val="00F25A9B"/>
    <w:rsid w:val="00F82F5B"/>
    <w:rsid w:val="00FA1014"/>
    <w:rsid w:val="00FE5F5E"/>
    <w:rsid w:val="0402568E"/>
    <w:rsid w:val="043E3523"/>
    <w:rsid w:val="0E28071A"/>
    <w:rsid w:val="0E3218B3"/>
    <w:rsid w:val="16F567F4"/>
    <w:rsid w:val="23243DFD"/>
    <w:rsid w:val="252E4644"/>
    <w:rsid w:val="26056540"/>
    <w:rsid w:val="26EE0E8A"/>
    <w:rsid w:val="27076823"/>
    <w:rsid w:val="30B15ABF"/>
    <w:rsid w:val="311E7D8B"/>
    <w:rsid w:val="31FA53B8"/>
    <w:rsid w:val="3AA211C4"/>
    <w:rsid w:val="3D700C48"/>
    <w:rsid w:val="43930F6C"/>
    <w:rsid w:val="470050C7"/>
    <w:rsid w:val="4A00380F"/>
    <w:rsid w:val="4ADF3BC1"/>
    <w:rsid w:val="4D510C97"/>
    <w:rsid w:val="4E5057E8"/>
    <w:rsid w:val="4F265764"/>
    <w:rsid w:val="5D792A25"/>
    <w:rsid w:val="5E100FD2"/>
    <w:rsid w:val="5E2A668A"/>
    <w:rsid w:val="5E2B0DDE"/>
    <w:rsid w:val="668055FF"/>
    <w:rsid w:val="6F503C23"/>
    <w:rsid w:val="723002F1"/>
    <w:rsid w:val="75C45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85"/>
    <w:pPr>
      <w:spacing w:line="360" w:lineRule="auto"/>
    </w:pPr>
    <w:rPr>
      <w:kern w:val="2"/>
      <w:sz w:val="24"/>
      <w:szCs w:val="24"/>
    </w:rPr>
  </w:style>
  <w:style w:type="paragraph" w:styleId="1">
    <w:name w:val="heading 1"/>
    <w:basedOn w:val="a"/>
    <w:next w:val="a"/>
    <w:qFormat/>
    <w:rsid w:val="00B56A8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56A85"/>
  </w:style>
  <w:style w:type="paragraph" w:styleId="a4">
    <w:name w:val="Balloon Text"/>
    <w:basedOn w:val="a"/>
    <w:link w:val="Char0"/>
    <w:qFormat/>
    <w:rsid w:val="00B56A85"/>
    <w:pPr>
      <w:spacing w:line="240" w:lineRule="auto"/>
    </w:pPr>
    <w:rPr>
      <w:sz w:val="18"/>
      <w:szCs w:val="18"/>
    </w:rPr>
  </w:style>
  <w:style w:type="paragraph" w:styleId="a5">
    <w:name w:val="footer"/>
    <w:basedOn w:val="a"/>
    <w:link w:val="Char1"/>
    <w:qFormat/>
    <w:rsid w:val="00B56A85"/>
    <w:pPr>
      <w:tabs>
        <w:tab w:val="center" w:pos="4153"/>
        <w:tab w:val="right" w:pos="8306"/>
      </w:tabs>
      <w:snapToGrid w:val="0"/>
      <w:spacing w:line="240" w:lineRule="auto"/>
    </w:pPr>
    <w:rPr>
      <w:sz w:val="18"/>
      <w:szCs w:val="18"/>
    </w:rPr>
  </w:style>
  <w:style w:type="paragraph" w:styleId="a6">
    <w:name w:val="header"/>
    <w:basedOn w:val="a"/>
    <w:link w:val="Char2"/>
    <w:qFormat/>
    <w:rsid w:val="00B56A85"/>
    <w:pPr>
      <w:pBdr>
        <w:bottom w:val="single" w:sz="6" w:space="1" w:color="auto"/>
      </w:pBdr>
      <w:tabs>
        <w:tab w:val="center" w:pos="4153"/>
        <w:tab w:val="right" w:pos="8306"/>
      </w:tabs>
      <w:snapToGrid w:val="0"/>
      <w:spacing w:line="240" w:lineRule="auto"/>
      <w:jc w:val="center"/>
    </w:pPr>
    <w:rPr>
      <w:sz w:val="18"/>
      <w:szCs w:val="18"/>
    </w:rPr>
  </w:style>
  <w:style w:type="character" w:styleId="a7">
    <w:name w:val="Hyperlink"/>
    <w:basedOn w:val="a0"/>
    <w:qFormat/>
    <w:rsid w:val="00B56A85"/>
    <w:rPr>
      <w:color w:val="0000FF"/>
      <w:u w:val="single"/>
    </w:rPr>
  </w:style>
  <w:style w:type="character" w:styleId="a8">
    <w:name w:val="annotation reference"/>
    <w:basedOn w:val="a0"/>
    <w:qFormat/>
    <w:rsid w:val="00B56A85"/>
    <w:rPr>
      <w:sz w:val="21"/>
      <w:szCs w:val="21"/>
    </w:rPr>
  </w:style>
  <w:style w:type="character" w:customStyle="1" w:styleId="Char2">
    <w:name w:val="页眉 Char"/>
    <w:basedOn w:val="a0"/>
    <w:link w:val="a6"/>
    <w:qFormat/>
    <w:rsid w:val="00B56A85"/>
    <w:rPr>
      <w:kern w:val="2"/>
      <w:sz w:val="18"/>
      <w:szCs w:val="18"/>
    </w:rPr>
  </w:style>
  <w:style w:type="character" w:customStyle="1" w:styleId="Char1">
    <w:name w:val="页脚 Char"/>
    <w:basedOn w:val="a0"/>
    <w:link w:val="a5"/>
    <w:qFormat/>
    <w:rsid w:val="00B56A85"/>
    <w:rPr>
      <w:kern w:val="2"/>
      <w:sz w:val="18"/>
      <w:szCs w:val="18"/>
    </w:rPr>
  </w:style>
  <w:style w:type="character" w:customStyle="1" w:styleId="Char0">
    <w:name w:val="批注框文本 Char"/>
    <w:basedOn w:val="a0"/>
    <w:link w:val="a4"/>
    <w:qFormat/>
    <w:rsid w:val="00B56A85"/>
    <w:rPr>
      <w:kern w:val="2"/>
      <w:sz w:val="18"/>
      <w:szCs w:val="18"/>
    </w:rPr>
  </w:style>
  <w:style w:type="paragraph" w:styleId="a9">
    <w:name w:val="Revision"/>
    <w:hidden/>
    <w:uiPriority w:val="99"/>
    <w:semiHidden/>
    <w:rsid w:val="00D813EC"/>
    <w:rPr>
      <w:kern w:val="2"/>
      <w:sz w:val="24"/>
      <w:szCs w:val="24"/>
    </w:rPr>
  </w:style>
  <w:style w:type="character" w:customStyle="1" w:styleId="UnresolvedMention">
    <w:name w:val="Unresolved Mention"/>
    <w:basedOn w:val="a0"/>
    <w:uiPriority w:val="99"/>
    <w:semiHidden/>
    <w:unhideWhenUsed/>
    <w:rsid w:val="00A36BCE"/>
    <w:rPr>
      <w:color w:val="605E5C"/>
      <w:shd w:val="clear" w:color="auto" w:fill="E1DFDD"/>
    </w:rPr>
  </w:style>
  <w:style w:type="paragraph" w:styleId="aa">
    <w:name w:val="annotation subject"/>
    <w:basedOn w:val="a3"/>
    <w:next w:val="a3"/>
    <w:link w:val="Char3"/>
    <w:semiHidden/>
    <w:unhideWhenUsed/>
    <w:rsid w:val="0004269B"/>
    <w:rPr>
      <w:b/>
      <w:bCs/>
    </w:rPr>
  </w:style>
  <w:style w:type="character" w:customStyle="1" w:styleId="Char">
    <w:name w:val="批注文字 Char"/>
    <w:basedOn w:val="a0"/>
    <w:link w:val="a3"/>
    <w:rsid w:val="0004269B"/>
    <w:rPr>
      <w:kern w:val="2"/>
      <w:sz w:val="24"/>
      <w:szCs w:val="24"/>
    </w:rPr>
  </w:style>
  <w:style w:type="character" w:customStyle="1" w:styleId="Char3">
    <w:name w:val="批注主题 Char"/>
    <w:basedOn w:val="Char"/>
    <w:link w:val="aa"/>
    <w:semiHidden/>
    <w:rsid w:val="0004269B"/>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kern w:val="2"/>
      <w:sz w:val="24"/>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pPr>
      <w:spacing w:line="240" w:lineRule="auto"/>
    </w:pPr>
    <w:rPr>
      <w:sz w:val="18"/>
      <w:szCs w:val="18"/>
    </w:rPr>
  </w:style>
  <w:style w:type="paragraph" w:styleId="a5">
    <w:name w:val="footer"/>
    <w:basedOn w:val="a"/>
    <w:link w:val="Char1"/>
    <w:qFormat/>
    <w:pPr>
      <w:tabs>
        <w:tab w:val="center" w:pos="4153"/>
        <w:tab w:val="right" w:pos="8306"/>
      </w:tabs>
      <w:snapToGrid w:val="0"/>
      <w:spacing w:line="240" w:lineRule="auto"/>
    </w:pPr>
    <w:rPr>
      <w:sz w:val="18"/>
      <w:szCs w:val="18"/>
    </w:rPr>
  </w:style>
  <w:style w:type="paragraph" w:styleId="a6">
    <w:name w:val="header"/>
    <w:basedOn w:val="a"/>
    <w:link w:val="Char2"/>
    <w:qFormat/>
    <w:pPr>
      <w:pBdr>
        <w:bottom w:val="single" w:sz="6" w:space="1" w:color="auto"/>
      </w:pBdr>
      <w:tabs>
        <w:tab w:val="center" w:pos="4153"/>
        <w:tab w:val="right" w:pos="8306"/>
      </w:tabs>
      <w:snapToGrid w:val="0"/>
      <w:spacing w:line="240" w:lineRule="auto"/>
      <w:jc w:val="center"/>
    </w:pPr>
    <w:rPr>
      <w:sz w:val="18"/>
      <w:szCs w:val="18"/>
    </w:rPr>
  </w:style>
  <w:style w:type="character" w:styleId="a7">
    <w:name w:val="Hyperlink"/>
    <w:basedOn w:val="a0"/>
    <w:qFormat/>
    <w:rPr>
      <w:color w:val="0000FF"/>
      <w:u w:val="single"/>
    </w:rPr>
  </w:style>
  <w:style w:type="character" w:styleId="a8">
    <w:name w:val="annotation reference"/>
    <w:basedOn w:val="a0"/>
    <w:qFormat/>
    <w:rPr>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Char0">
    <w:name w:val="批注框文本 Char"/>
    <w:basedOn w:val="a0"/>
    <w:link w:val="a4"/>
    <w:qFormat/>
    <w:rPr>
      <w:kern w:val="2"/>
      <w:sz w:val="18"/>
      <w:szCs w:val="18"/>
    </w:rPr>
  </w:style>
  <w:style w:type="paragraph" w:styleId="a9">
    <w:name w:val="Revision"/>
    <w:hidden/>
    <w:uiPriority w:val="99"/>
    <w:semiHidden/>
    <w:rsid w:val="00D813EC"/>
    <w:rPr>
      <w:kern w:val="2"/>
      <w:sz w:val="24"/>
      <w:szCs w:val="24"/>
    </w:rPr>
  </w:style>
  <w:style w:type="character" w:customStyle="1" w:styleId="UnresolvedMention">
    <w:name w:val="Unresolved Mention"/>
    <w:basedOn w:val="a0"/>
    <w:uiPriority w:val="99"/>
    <w:semiHidden/>
    <w:unhideWhenUsed/>
    <w:rsid w:val="00A36BCE"/>
    <w:rPr>
      <w:color w:val="605E5C"/>
      <w:shd w:val="clear" w:color="auto" w:fill="E1DFDD"/>
    </w:rPr>
  </w:style>
  <w:style w:type="paragraph" w:styleId="aa">
    <w:name w:val="annotation subject"/>
    <w:basedOn w:val="a3"/>
    <w:next w:val="a3"/>
    <w:link w:val="Char3"/>
    <w:semiHidden/>
    <w:unhideWhenUsed/>
    <w:rsid w:val="0004269B"/>
    <w:rPr>
      <w:b/>
      <w:bCs/>
    </w:rPr>
  </w:style>
  <w:style w:type="character" w:customStyle="1" w:styleId="Char">
    <w:name w:val="批注文字 Char"/>
    <w:basedOn w:val="a0"/>
    <w:link w:val="a3"/>
    <w:rsid w:val="0004269B"/>
    <w:rPr>
      <w:kern w:val="2"/>
      <w:sz w:val="24"/>
      <w:szCs w:val="24"/>
    </w:rPr>
  </w:style>
  <w:style w:type="character" w:customStyle="1" w:styleId="Char3">
    <w:name w:val="批注主题 Char"/>
    <w:basedOn w:val="Char"/>
    <w:link w:val="aa"/>
    <w:semiHidden/>
    <w:rsid w:val="0004269B"/>
    <w:rPr>
      <w:b/>
      <w:bCs/>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4</DocSecurity>
  <Lines>5</Lines>
  <Paragraphs>1</Paragraphs>
  <ScaleCrop>false</ScaleCrop>
  <Company>HP Inc.</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DXJJ</dc:creator>
  <cp:lastModifiedBy>ZHONGM</cp:lastModifiedBy>
  <cp:revision>2</cp:revision>
  <dcterms:created xsi:type="dcterms:W3CDTF">2024-04-02T16:01:00Z</dcterms:created>
  <dcterms:modified xsi:type="dcterms:W3CDTF">2024-04-02T16:01:00Z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D9BF6DA20E5F48C8A9875A169D17DAB1</vt:lpwstr>
  </property>
</Properties>
</file>