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57" w:rsidRPr="005B3B04" w:rsidRDefault="005B3B04">
      <w:pPr>
        <w:spacing w:after="120"/>
        <w:ind w:firstLineChars="100" w:firstLine="301"/>
        <w:jc w:val="center"/>
        <w:rPr>
          <w:rFonts w:ascii="Times New Roman" w:hAnsi="Times New Roman"/>
          <w:b/>
          <w:sz w:val="30"/>
          <w:szCs w:val="30"/>
        </w:rPr>
      </w:pPr>
      <w:r w:rsidRPr="005B3B04">
        <w:rPr>
          <w:rFonts w:ascii="Times New Roman" w:hAnsi="Times New Roman" w:hint="eastAsia"/>
          <w:b/>
          <w:sz w:val="30"/>
          <w:szCs w:val="30"/>
        </w:rPr>
        <w:t>关于民生加银丰鑫债券型证券投资基金开展赎回费率</w:t>
      </w:r>
    </w:p>
    <w:p w:rsidR="002A0457" w:rsidRPr="005B3B04" w:rsidRDefault="005B3B04">
      <w:pPr>
        <w:spacing w:after="120"/>
        <w:ind w:firstLineChars="100" w:firstLine="301"/>
        <w:jc w:val="center"/>
        <w:rPr>
          <w:rFonts w:ascii="Times New Roman" w:hAnsi="Times New Roman"/>
          <w:b/>
          <w:sz w:val="30"/>
          <w:szCs w:val="30"/>
        </w:rPr>
      </w:pPr>
      <w:r w:rsidRPr="005B3B04">
        <w:rPr>
          <w:rFonts w:ascii="Times New Roman" w:hAnsi="Times New Roman" w:hint="eastAsia"/>
          <w:b/>
          <w:sz w:val="30"/>
          <w:szCs w:val="30"/>
        </w:rPr>
        <w:t>优惠活动的公告</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根据相关法律法规和基金合同有关基金赎回费率调整的规定，民生加银基金管理有限公司（以下简称“本公司”）决定对民生加银丰鑫债券型证券投资基金（以下简称“本基金”）的投资者进行赎回费率优惠。具体安排如下：</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一、适用基金</w:t>
      </w:r>
      <w:bookmarkStart w:id="0" w:name="_GoBack"/>
      <w:bookmarkEnd w:id="0"/>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民生加银丰鑫债券型证券投资基金（基金代码：</w:t>
      </w:r>
      <w:r w:rsidRPr="005B3B04">
        <w:rPr>
          <w:rFonts w:ascii="Times New Roman" w:hAnsi="Times New Roman" w:hint="eastAsia"/>
          <w:sz w:val="24"/>
          <w:szCs w:val="24"/>
        </w:rPr>
        <w:t>690012</w:t>
      </w:r>
      <w:r w:rsidRPr="005B3B04">
        <w:rPr>
          <w:rFonts w:ascii="Times New Roman" w:hAnsi="Times New Roman" w:hint="eastAsia"/>
          <w:sz w:val="24"/>
          <w:szCs w:val="24"/>
        </w:rPr>
        <w:t>）</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二、适用渠道</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本次优惠活动仅适用于本公司直销柜台销售渠道。</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三、优惠期间</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自</w:t>
      </w:r>
      <w:r w:rsidRPr="005B3B04">
        <w:rPr>
          <w:rFonts w:ascii="Times New Roman" w:hAnsi="Times New Roman" w:hint="eastAsia"/>
          <w:sz w:val="24"/>
          <w:szCs w:val="24"/>
        </w:rPr>
        <w:t>20</w:t>
      </w:r>
      <w:r w:rsidRPr="005B3B04">
        <w:rPr>
          <w:rFonts w:ascii="Times New Roman" w:hAnsi="Times New Roman"/>
          <w:sz w:val="24"/>
          <w:szCs w:val="24"/>
        </w:rPr>
        <w:t>2</w:t>
      </w:r>
      <w:r w:rsidRPr="005B3B04">
        <w:rPr>
          <w:rFonts w:ascii="Times New Roman" w:hAnsi="Times New Roman" w:hint="eastAsia"/>
          <w:sz w:val="24"/>
          <w:szCs w:val="24"/>
        </w:rPr>
        <w:t>4</w:t>
      </w:r>
      <w:r w:rsidRPr="005B3B04">
        <w:rPr>
          <w:rFonts w:ascii="Times New Roman" w:hAnsi="Times New Roman" w:hint="eastAsia"/>
          <w:sz w:val="24"/>
          <w:szCs w:val="24"/>
        </w:rPr>
        <w:t>年</w:t>
      </w:r>
      <w:r w:rsidRPr="005B3B04">
        <w:rPr>
          <w:rFonts w:ascii="Times New Roman" w:hAnsi="Times New Roman" w:hint="eastAsia"/>
          <w:sz w:val="24"/>
          <w:szCs w:val="24"/>
        </w:rPr>
        <w:t>4</w:t>
      </w:r>
      <w:r w:rsidRPr="005B3B04">
        <w:rPr>
          <w:rFonts w:ascii="Times New Roman" w:hAnsi="Times New Roman" w:hint="eastAsia"/>
          <w:sz w:val="24"/>
          <w:szCs w:val="24"/>
        </w:rPr>
        <w:t>月</w:t>
      </w:r>
      <w:r w:rsidRPr="005B3B04">
        <w:rPr>
          <w:rFonts w:ascii="Times New Roman" w:hAnsi="Times New Roman" w:hint="eastAsia"/>
          <w:sz w:val="24"/>
          <w:szCs w:val="24"/>
        </w:rPr>
        <w:t>8</w:t>
      </w:r>
      <w:r w:rsidRPr="005B3B04">
        <w:rPr>
          <w:rFonts w:ascii="Times New Roman" w:hAnsi="Times New Roman" w:hint="eastAsia"/>
          <w:sz w:val="24"/>
          <w:szCs w:val="24"/>
        </w:rPr>
        <w:t>日至</w:t>
      </w:r>
      <w:r w:rsidRPr="005B3B04">
        <w:rPr>
          <w:rFonts w:ascii="Times New Roman" w:hAnsi="Times New Roman"/>
          <w:sz w:val="24"/>
          <w:szCs w:val="24"/>
        </w:rPr>
        <w:t>20</w:t>
      </w:r>
      <w:r w:rsidRPr="005B3B04">
        <w:rPr>
          <w:rFonts w:ascii="Times New Roman" w:hAnsi="Times New Roman" w:hint="eastAsia"/>
          <w:sz w:val="24"/>
          <w:szCs w:val="24"/>
        </w:rPr>
        <w:t>24</w:t>
      </w:r>
      <w:r w:rsidRPr="005B3B04">
        <w:rPr>
          <w:rFonts w:ascii="Times New Roman" w:hAnsi="Times New Roman" w:hint="eastAsia"/>
          <w:sz w:val="24"/>
          <w:szCs w:val="24"/>
        </w:rPr>
        <w:t>年</w:t>
      </w:r>
      <w:r w:rsidRPr="005B3B04">
        <w:rPr>
          <w:rFonts w:ascii="Times New Roman" w:hAnsi="Times New Roman" w:hint="eastAsia"/>
          <w:sz w:val="24"/>
          <w:szCs w:val="24"/>
        </w:rPr>
        <w:t>5</w:t>
      </w:r>
      <w:r w:rsidRPr="005B3B04">
        <w:rPr>
          <w:rFonts w:ascii="Times New Roman" w:hAnsi="Times New Roman" w:hint="eastAsia"/>
          <w:sz w:val="24"/>
          <w:szCs w:val="24"/>
        </w:rPr>
        <w:t>月</w:t>
      </w:r>
      <w:r w:rsidRPr="005B3B04">
        <w:rPr>
          <w:rFonts w:ascii="Times New Roman" w:hAnsi="Times New Roman" w:hint="eastAsia"/>
          <w:sz w:val="24"/>
          <w:szCs w:val="24"/>
        </w:rPr>
        <w:t>8</w:t>
      </w:r>
      <w:r w:rsidRPr="005B3B04">
        <w:rPr>
          <w:rFonts w:ascii="Times New Roman" w:hAnsi="Times New Roman" w:hint="eastAsia"/>
          <w:sz w:val="24"/>
          <w:szCs w:val="24"/>
        </w:rPr>
        <w:t>日。</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四、费率优惠情况</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优惠活动期间，凡通过上述销售机构申请赎回本基金的投资者，在赎回时，赎回费享有如下优惠：</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66"/>
        <w:gridCol w:w="2765"/>
        <w:gridCol w:w="2765"/>
      </w:tblGrid>
      <w:tr w:rsidR="002A0457" w:rsidRPr="005B3B04">
        <w:tc>
          <w:tcPr>
            <w:tcW w:w="2766"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hint="eastAsia"/>
                <w:sz w:val="24"/>
                <w:szCs w:val="24"/>
              </w:rPr>
              <w:t>持有基金时间</w:t>
            </w:r>
            <w:r w:rsidRPr="005B3B04">
              <w:rPr>
                <w:rFonts w:ascii="Times New Roman" w:hAnsi="Times New Roman"/>
                <w:sz w:val="24"/>
                <w:szCs w:val="24"/>
              </w:rPr>
              <w:t>T</w:t>
            </w:r>
          </w:p>
        </w:tc>
        <w:tc>
          <w:tcPr>
            <w:tcW w:w="2765"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hint="eastAsia"/>
                <w:sz w:val="24"/>
                <w:szCs w:val="24"/>
              </w:rPr>
              <w:t>原赎回费率</w:t>
            </w:r>
          </w:p>
        </w:tc>
        <w:tc>
          <w:tcPr>
            <w:tcW w:w="2765"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hint="eastAsia"/>
                <w:sz w:val="24"/>
                <w:szCs w:val="24"/>
              </w:rPr>
              <w:t>优惠期间赎回费率</w:t>
            </w:r>
          </w:p>
        </w:tc>
      </w:tr>
      <w:tr w:rsidR="002A0457" w:rsidRPr="005B3B04">
        <w:tc>
          <w:tcPr>
            <w:tcW w:w="2766"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sz w:val="24"/>
                <w:szCs w:val="24"/>
              </w:rPr>
              <w:t>T</w:t>
            </w:r>
            <w:r w:rsidRPr="005B3B04">
              <w:rPr>
                <w:rFonts w:ascii="Times New Roman" w:hAnsi="Times New Roman" w:hint="eastAsia"/>
                <w:sz w:val="24"/>
                <w:szCs w:val="24"/>
              </w:rPr>
              <w:t>＜</w:t>
            </w:r>
            <w:r w:rsidRPr="005B3B04">
              <w:rPr>
                <w:rFonts w:ascii="Times New Roman" w:hAnsi="Times New Roman"/>
                <w:sz w:val="24"/>
                <w:szCs w:val="24"/>
              </w:rPr>
              <w:t>7</w:t>
            </w:r>
            <w:r w:rsidRPr="005B3B04">
              <w:rPr>
                <w:rFonts w:ascii="Times New Roman" w:hAnsi="Times New Roman"/>
                <w:sz w:val="24"/>
                <w:szCs w:val="24"/>
              </w:rPr>
              <w:t>日</w:t>
            </w:r>
          </w:p>
        </w:tc>
        <w:tc>
          <w:tcPr>
            <w:tcW w:w="2765"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sz w:val="24"/>
                <w:szCs w:val="24"/>
              </w:rPr>
              <w:t>1.50%</w:t>
            </w:r>
          </w:p>
        </w:tc>
        <w:tc>
          <w:tcPr>
            <w:tcW w:w="2765"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hint="eastAsia"/>
                <w:sz w:val="24"/>
                <w:szCs w:val="24"/>
              </w:rPr>
              <w:t>不优惠</w:t>
            </w:r>
          </w:p>
        </w:tc>
      </w:tr>
      <w:tr w:rsidR="002A0457" w:rsidRPr="005B3B04">
        <w:tc>
          <w:tcPr>
            <w:tcW w:w="2766"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sz w:val="24"/>
                <w:szCs w:val="24"/>
              </w:rPr>
              <w:t>7</w:t>
            </w:r>
            <w:r w:rsidRPr="005B3B04">
              <w:rPr>
                <w:rFonts w:ascii="Times New Roman" w:hAnsi="Times New Roman"/>
                <w:sz w:val="24"/>
                <w:szCs w:val="24"/>
              </w:rPr>
              <w:t>日</w:t>
            </w:r>
            <w:r w:rsidRPr="005B3B04">
              <w:rPr>
                <w:rFonts w:ascii="Times New Roman" w:hAnsi="Times New Roman" w:hint="eastAsia"/>
                <w:sz w:val="24"/>
                <w:szCs w:val="24"/>
              </w:rPr>
              <w:t>≤</w:t>
            </w:r>
            <w:r w:rsidRPr="005B3B04">
              <w:rPr>
                <w:rFonts w:ascii="Times New Roman" w:hAnsi="Times New Roman"/>
                <w:sz w:val="24"/>
                <w:szCs w:val="24"/>
              </w:rPr>
              <w:t>T</w:t>
            </w:r>
            <w:r w:rsidRPr="005B3B04">
              <w:rPr>
                <w:rFonts w:ascii="Times New Roman" w:hAnsi="Times New Roman" w:hint="eastAsia"/>
                <w:sz w:val="24"/>
                <w:szCs w:val="24"/>
              </w:rPr>
              <w:t>＜</w:t>
            </w:r>
            <w:r w:rsidRPr="005B3B04">
              <w:rPr>
                <w:rFonts w:ascii="Times New Roman" w:hAnsi="Times New Roman" w:hint="eastAsia"/>
                <w:sz w:val="24"/>
                <w:szCs w:val="24"/>
              </w:rPr>
              <w:t>30</w:t>
            </w:r>
            <w:r w:rsidRPr="005B3B04">
              <w:rPr>
                <w:rFonts w:ascii="Times New Roman" w:hAnsi="Times New Roman" w:hint="eastAsia"/>
                <w:sz w:val="24"/>
                <w:szCs w:val="24"/>
              </w:rPr>
              <w:t>日</w:t>
            </w:r>
          </w:p>
        </w:tc>
        <w:tc>
          <w:tcPr>
            <w:tcW w:w="2765"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sz w:val="24"/>
                <w:szCs w:val="24"/>
              </w:rPr>
              <w:t>0.</w:t>
            </w:r>
            <w:r w:rsidRPr="005B3B04">
              <w:rPr>
                <w:rFonts w:ascii="Times New Roman" w:hAnsi="Times New Roman" w:hint="eastAsia"/>
                <w:sz w:val="24"/>
                <w:szCs w:val="24"/>
              </w:rPr>
              <w:t>05</w:t>
            </w:r>
            <w:r w:rsidRPr="005B3B04">
              <w:rPr>
                <w:rFonts w:ascii="Times New Roman" w:hAnsi="Times New Roman"/>
                <w:sz w:val="24"/>
                <w:szCs w:val="24"/>
              </w:rPr>
              <w:t>%</w:t>
            </w:r>
          </w:p>
        </w:tc>
        <w:tc>
          <w:tcPr>
            <w:tcW w:w="2765"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sz w:val="24"/>
                <w:szCs w:val="24"/>
              </w:rPr>
              <w:t>0.</w:t>
            </w:r>
            <w:r w:rsidRPr="005B3B04">
              <w:rPr>
                <w:rFonts w:ascii="Times New Roman" w:hAnsi="Times New Roman" w:hint="eastAsia"/>
                <w:sz w:val="24"/>
                <w:szCs w:val="24"/>
              </w:rPr>
              <w:t>0125</w:t>
            </w:r>
            <w:r w:rsidRPr="005B3B04">
              <w:rPr>
                <w:rFonts w:ascii="Times New Roman" w:hAnsi="Times New Roman"/>
                <w:sz w:val="24"/>
                <w:szCs w:val="24"/>
              </w:rPr>
              <w:t>%</w:t>
            </w:r>
          </w:p>
        </w:tc>
      </w:tr>
      <w:tr w:rsidR="002A0457" w:rsidRPr="005B3B04">
        <w:tc>
          <w:tcPr>
            <w:tcW w:w="2766"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hint="eastAsia"/>
                <w:sz w:val="24"/>
                <w:szCs w:val="24"/>
              </w:rPr>
              <w:t>T</w:t>
            </w:r>
            <w:r w:rsidRPr="005B3B04">
              <w:rPr>
                <w:rFonts w:ascii="Times New Roman" w:hAnsi="Times New Roman" w:hint="eastAsia"/>
                <w:sz w:val="24"/>
                <w:szCs w:val="24"/>
              </w:rPr>
              <w:t>≥</w:t>
            </w:r>
            <w:r w:rsidRPr="005B3B04">
              <w:rPr>
                <w:rFonts w:ascii="Times New Roman" w:hAnsi="Times New Roman" w:hint="eastAsia"/>
                <w:sz w:val="24"/>
                <w:szCs w:val="24"/>
              </w:rPr>
              <w:t>30</w:t>
            </w:r>
            <w:r w:rsidRPr="005B3B04">
              <w:rPr>
                <w:rFonts w:ascii="Times New Roman" w:hAnsi="Times New Roman" w:hint="eastAsia"/>
                <w:sz w:val="24"/>
                <w:szCs w:val="24"/>
              </w:rPr>
              <w:t>日</w:t>
            </w:r>
          </w:p>
        </w:tc>
        <w:tc>
          <w:tcPr>
            <w:tcW w:w="2765"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sz w:val="24"/>
                <w:szCs w:val="24"/>
              </w:rPr>
              <w:t>0.00%</w:t>
            </w:r>
          </w:p>
        </w:tc>
        <w:tc>
          <w:tcPr>
            <w:tcW w:w="2765" w:type="dxa"/>
            <w:tcBorders>
              <w:top w:val="single" w:sz="4" w:space="0" w:color="auto"/>
              <w:left w:val="single" w:sz="4" w:space="0" w:color="auto"/>
              <w:bottom w:val="single" w:sz="4" w:space="0" w:color="auto"/>
              <w:right w:val="single" w:sz="4" w:space="0" w:color="auto"/>
            </w:tcBorders>
          </w:tcPr>
          <w:p w:rsidR="002A0457" w:rsidRPr="005B3B04" w:rsidRDefault="005B3B04">
            <w:pPr>
              <w:spacing w:line="276" w:lineRule="auto"/>
              <w:jc w:val="center"/>
              <w:rPr>
                <w:rFonts w:ascii="Times New Roman" w:hAnsi="Times New Roman"/>
                <w:sz w:val="24"/>
                <w:szCs w:val="24"/>
              </w:rPr>
            </w:pPr>
            <w:r w:rsidRPr="005B3B04">
              <w:rPr>
                <w:rFonts w:ascii="Times New Roman" w:hAnsi="Times New Roman" w:hint="eastAsia"/>
                <w:sz w:val="24"/>
                <w:szCs w:val="24"/>
              </w:rPr>
              <w:t>不优惠</w:t>
            </w:r>
          </w:p>
        </w:tc>
      </w:tr>
    </w:tbl>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赎回费用由赎回基金份额的基金份额持有人承担，在基金份额持有人赎回基金份额时收取。本次优惠后的赎回费将满足不低于按原费率计算的赎回总额应归入基金资产部分的要求。此次费率优惠不会对基金份额持有人利益造成不利影响。本次活动只适用于在优惠活动期限内，通过上述渠道赎回本基金份额的投资者，不适用于基金份额的转换转出业务。</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五、重要提示</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1</w:t>
      </w:r>
      <w:r w:rsidRPr="005B3B04">
        <w:rPr>
          <w:rFonts w:ascii="Times New Roman" w:hAnsi="Times New Roman" w:hint="eastAsia"/>
          <w:sz w:val="24"/>
          <w:szCs w:val="24"/>
        </w:rPr>
        <w:t>、本公告的最终解释权归民生加银基金管理有限公司所有。</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2</w:t>
      </w:r>
      <w:r w:rsidRPr="005B3B04">
        <w:rPr>
          <w:rFonts w:ascii="Times New Roman" w:hAnsi="Times New Roman" w:hint="eastAsia"/>
          <w:sz w:val="24"/>
          <w:szCs w:val="24"/>
        </w:rPr>
        <w:t>、投资者可通过以下途径咨询详情：</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民生加银基金管理有限公司</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客服热线：</w:t>
      </w:r>
      <w:r w:rsidRPr="005B3B04">
        <w:rPr>
          <w:rFonts w:ascii="Times New Roman" w:hAnsi="Times New Roman" w:hint="eastAsia"/>
          <w:sz w:val="24"/>
          <w:szCs w:val="24"/>
        </w:rPr>
        <w:t>400-8888-388</w:t>
      </w:r>
      <w:r w:rsidRPr="005B3B04">
        <w:rPr>
          <w:rFonts w:ascii="Times New Roman" w:hAnsi="Times New Roman" w:hint="eastAsia"/>
          <w:sz w:val="24"/>
          <w:szCs w:val="24"/>
        </w:rPr>
        <w:t>（免长话费）</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公司网址：</w:t>
      </w:r>
      <w:r w:rsidRPr="005B3B04">
        <w:rPr>
          <w:rFonts w:ascii="Times New Roman" w:hAnsi="Times New Roman" w:hint="eastAsia"/>
          <w:sz w:val="24"/>
          <w:szCs w:val="24"/>
        </w:rPr>
        <w:t>www.msjyfund.com.cn</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lastRenderedPageBreak/>
        <w:t>3</w:t>
      </w:r>
      <w:r w:rsidRPr="005B3B04">
        <w:rPr>
          <w:rFonts w:ascii="Times New Roman" w:hAnsi="Times New Roman" w:hint="eastAsia"/>
          <w:sz w:val="24"/>
          <w:szCs w:val="24"/>
        </w:rPr>
        <w:t>、风险提示</w:t>
      </w:r>
    </w:p>
    <w:p w:rsidR="002A0457" w:rsidRPr="005B3B04" w:rsidRDefault="005B3B04">
      <w:pPr>
        <w:spacing w:line="360" w:lineRule="auto"/>
        <w:ind w:firstLineChars="200" w:firstLine="482"/>
        <w:rPr>
          <w:rFonts w:ascii="Times New Roman" w:hAnsi="Times New Roman"/>
          <w:b/>
          <w:sz w:val="24"/>
          <w:szCs w:val="24"/>
        </w:rPr>
      </w:pPr>
      <w:r w:rsidRPr="005B3B04">
        <w:rPr>
          <w:rFonts w:ascii="Times New Roman" w:hAnsi="Times New Roman" w:hint="eastAsia"/>
          <w:b/>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基金前应认真阅读基金的基金合同和招募说明书等资料，了解所投资基金的风险收益特征，并根据自身情况购买与本人风险承受能力相匹配的产品。敬请投资者注意投资风险。</w:t>
      </w:r>
    </w:p>
    <w:p w:rsidR="002A0457" w:rsidRPr="005B3B04" w:rsidRDefault="005B3B04">
      <w:pPr>
        <w:spacing w:line="360" w:lineRule="auto"/>
        <w:ind w:firstLineChars="200" w:firstLine="480"/>
        <w:rPr>
          <w:rFonts w:ascii="Times New Roman" w:hAnsi="Times New Roman"/>
          <w:sz w:val="24"/>
          <w:szCs w:val="24"/>
        </w:rPr>
      </w:pPr>
      <w:r w:rsidRPr="005B3B04">
        <w:rPr>
          <w:rFonts w:ascii="Times New Roman" w:hAnsi="Times New Roman" w:hint="eastAsia"/>
          <w:sz w:val="24"/>
          <w:szCs w:val="24"/>
        </w:rPr>
        <w:t>特此公告。</w:t>
      </w:r>
    </w:p>
    <w:p w:rsidR="002A0457" w:rsidRPr="005B3B04" w:rsidRDefault="002A0457">
      <w:pPr>
        <w:spacing w:line="360" w:lineRule="auto"/>
        <w:ind w:firstLineChars="1700" w:firstLine="4080"/>
        <w:rPr>
          <w:rFonts w:ascii="Times New Roman" w:hAnsi="Times New Roman"/>
          <w:sz w:val="24"/>
          <w:szCs w:val="24"/>
        </w:rPr>
      </w:pPr>
    </w:p>
    <w:p w:rsidR="002A0457" w:rsidRPr="005B3B04" w:rsidRDefault="002A0457">
      <w:pPr>
        <w:spacing w:line="360" w:lineRule="auto"/>
        <w:ind w:firstLineChars="1700" w:firstLine="4080"/>
        <w:rPr>
          <w:rFonts w:ascii="Times New Roman" w:hAnsi="Times New Roman"/>
          <w:sz w:val="24"/>
          <w:szCs w:val="24"/>
        </w:rPr>
      </w:pPr>
    </w:p>
    <w:p w:rsidR="002A0457" w:rsidRPr="005B3B04" w:rsidRDefault="005B3B04">
      <w:pPr>
        <w:spacing w:line="360" w:lineRule="auto"/>
        <w:ind w:firstLineChars="1700" w:firstLine="4080"/>
        <w:jc w:val="right"/>
        <w:rPr>
          <w:rFonts w:ascii="Times New Roman" w:hAnsi="Times New Roman"/>
          <w:sz w:val="24"/>
          <w:szCs w:val="24"/>
        </w:rPr>
      </w:pPr>
      <w:r w:rsidRPr="005B3B04">
        <w:rPr>
          <w:rFonts w:ascii="Times New Roman" w:hAnsi="Times New Roman" w:hint="eastAsia"/>
          <w:sz w:val="24"/>
          <w:szCs w:val="24"/>
        </w:rPr>
        <w:t>民生加银基金管理有限公司</w:t>
      </w:r>
    </w:p>
    <w:p w:rsidR="002A0457" w:rsidRPr="005B3B04" w:rsidRDefault="005B3B04">
      <w:pPr>
        <w:spacing w:line="360" w:lineRule="auto"/>
        <w:ind w:right="-9" w:firstLineChars="1800" w:firstLine="4320"/>
        <w:jc w:val="right"/>
        <w:rPr>
          <w:rFonts w:ascii="Times New Roman" w:hAnsi="Times New Roman"/>
          <w:sz w:val="24"/>
          <w:szCs w:val="24"/>
        </w:rPr>
      </w:pPr>
      <w:r w:rsidRPr="005B3B04">
        <w:rPr>
          <w:rFonts w:ascii="Times New Roman" w:hAnsi="Times New Roman" w:hint="eastAsia"/>
          <w:sz w:val="24"/>
          <w:szCs w:val="24"/>
        </w:rPr>
        <w:t>二〇二四年四月三日</w:t>
      </w:r>
    </w:p>
    <w:sectPr w:rsidR="002A0457" w:rsidRPr="005B3B04" w:rsidSect="00242D2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Calibri Light">
    <w:charset w:val="00"/>
    <w:family w:val="swiss"/>
    <w:pitch w:val="variable"/>
    <w:sig w:usb0="E0002AFF" w:usb1="C000247B" w:usb2="00000009" w:usb3="00000000" w:csb0="000001F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
  <w:rsids>
    <w:rsidRoot w:val="002A0457"/>
    <w:rsid w:val="00242D2D"/>
    <w:rsid w:val="002A0457"/>
    <w:rsid w:val="005B3B04"/>
    <w:rsid w:val="008C0D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2D2D"/>
    <w:pPr>
      <w:widowControl w:val="0"/>
      <w:jc w:val="both"/>
    </w:pPr>
    <w:rPr>
      <w:rFonts w:ascii="Calibri" w:hAnsi="Calibri" w:cs="Arial"/>
      <w:kern w:val="2"/>
      <w:sz w:val="21"/>
      <w:szCs w:val="22"/>
    </w:rPr>
  </w:style>
  <w:style w:type="paragraph" w:styleId="1">
    <w:name w:val="heading 1"/>
    <w:basedOn w:val="a"/>
    <w:next w:val="a"/>
    <w:rsid w:val="00242D2D"/>
    <w:pPr>
      <w:keepNext/>
      <w:keepLines/>
      <w:spacing w:before="340" w:after="330" w:line="578" w:lineRule="auto"/>
      <w:outlineLvl w:val="0"/>
    </w:pPr>
    <w:rPr>
      <w:b/>
      <w:bCs/>
      <w:kern w:val="44"/>
      <w:sz w:val="44"/>
    </w:rPr>
  </w:style>
  <w:style w:type="paragraph" w:styleId="2">
    <w:name w:val="heading 2"/>
    <w:basedOn w:val="a"/>
    <w:next w:val="a"/>
    <w:rsid w:val="00242D2D"/>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242D2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2D2D"/>
    <w:pPr>
      <w:pBdr>
        <w:bottom w:val="single" w:sz="6" w:space="1" w:color="auto"/>
      </w:pBdr>
      <w:tabs>
        <w:tab w:val="center" w:pos="4153"/>
        <w:tab w:val="right" w:pos="8306"/>
      </w:tabs>
      <w:snapToGrid w:val="0"/>
      <w:jc w:val="center"/>
    </w:pPr>
    <w:rPr>
      <w:sz w:val="18"/>
      <w:szCs w:val="18"/>
    </w:rPr>
  </w:style>
  <w:style w:type="paragraph" w:styleId="a4">
    <w:name w:val="footer"/>
    <w:basedOn w:val="a"/>
    <w:rsid w:val="00242D2D"/>
    <w:pPr>
      <w:tabs>
        <w:tab w:val="center" w:pos="4153"/>
        <w:tab w:val="right" w:pos="8306"/>
      </w:tabs>
      <w:snapToGrid w:val="0"/>
      <w:jc w:val="left"/>
    </w:pPr>
    <w:rPr>
      <w:sz w:val="18"/>
      <w:szCs w:val="18"/>
    </w:rPr>
  </w:style>
  <w:style w:type="character" w:styleId="a5">
    <w:name w:val="annotation reference"/>
    <w:basedOn w:val="a0"/>
    <w:rsid w:val="00242D2D"/>
    <w:rPr>
      <w:sz w:val="21"/>
      <w:szCs w:val="21"/>
    </w:rPr>
  </w:style>
  <w:style w:type="paragraph" w:styleId="a6">
    <w:name w:val="annotation text"/>
    <w:basedOn w:val="a"/>
    <w:rsid w:val="00242D2D"/>
    <w:pPr>
      <w:jc w:val="left"/>
    </w:pPr>
  </w:style>
  <w:style w:type="paragraph" w:styleId="a7">
    <w:name w:val="annotation subject"/>
    <w:basedOn w:val="a6"/>
    <w:next w:val="a6"/>
    <w:rsid w:val="00242D2D"/>
    <w:rPr>
      <w:b/>
      <w:bCs/>
    </w:rPr>
  </w:style>
  <w:style w:type="paragraph" w:styleId="a8">
    <w:name w:val="Balloon Text"/>
    <w:basedOn w:val="a"/>
    <w:rsid w:val="00242D2D"/>
    <w:rPr>
      <w:sz w:val="18"/>
      <w:szCs w:val="18"/>
    </w:rPr>
  </w:style>
  <w:style w:type="paragraph" w:styleId="a9">
    <w:name w:val="Date"/>
    <w:basedOn w:val="a"/>
    <w:next w:val="a"/>
    <w:rsid w:val="00242D2D"/>
    <w:pPr>
      <w:ind w:leftChars="2500" w:left="2500"/>
    </w:pPr>
  </w:style>
  <w:style w:type="paragraph" w:styleId="10">
    <w:name w:val="toc 1"/>
    <w:basedOn w:val="a"/>
    <w:next w:val="a"/>
    <w:autoRedefine/>
    <w:rsid w:val="00242D2D"/>
  </w:style>
  <w:style w:type="paragraph" w:styleId="20">
    <w:name w:val="toc 2"/>
    <w:basedOn w:val="a"/>
    <w:next w:val="a"/>
    <w:autoRedefine/>
    <w:rsid w:val="00242D2D"/>
    <w:pPr>
      <w:ind w:left="420"/>
    </w:pPr>
  </w:style>
  <w:style w:type="paragraph" w:styleId="30">
    <w:name w:val="toc 3"/>
    <w:basedOn w:val="a"/>
    <w:next w:val="a"/>
    <w:autoRedefine/>
    <w:rsid w:val="00242D2D"/>
    <w:pPr>
      <w:ind w:left="840"/>
    </w:pPr>
  </w:style>
  <w:style w:type="paragraph" w:styleId="4">
    <w:name w:val="toc 4"/>
    <w:basedOn w:val="a"/>
    <w:next w:val="a"/>
    <w:autoRedefine/>
    <w:rsid w:val="00242D2D"/>
    <w:pPr>
      <w:ind w:left="1260"/>
    </w:pPr>
  </w:style>
  <w:style w:type="paragraph" w:styleId="5">
    <w:name w:val="toc 5"/>
    <w:basedOn w:val="a"/>
    <w:next w:val="a"/>
    <w:autoRedefine/>
    <w:rsid w:val="00242D2D"/>
    <w:pPr>
      <w:ind w:left="1680"/>
    </w:pPr>
  </w:style>
  <w:style w:type="paragraph" w:customStyle="1" w:styleId="11">
    <w:name w:val="修订1"/>
    <w:rsid w:val="00242D2D"/>
    <w:rPr>
      <w:rFonts w:ascii="Calibri" w:hAnsi="Calibri"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732</Characters>
  <Application>Microsoft Office Word</Application>
  <DocSecurity>4</DocSecurity>
  <Lines>6</Lines>
  <Paragraphs>1</Paragraphs>
  <ScaleCrop>false</ScaleCrop>
  <Company>Microsoft</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刘广为</dc:creator>
  <cp:lastModifiedBy>ZHONGM</cp:lastModifiedBy>
  <cp:revision>2</cp:revision>
  <dcterms:created xsi:type="dcterms:W3CDTF">2024-04-02T16:01:00Z</dcterms:created>
  <dcterms:modified xsi:type="dcterms:W3CDTF">2024-04-02T16:01:00Z</dcterms:modified>
</cp:coreProperties>
</file>