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765C">
      <w:pPr>
        <w:pStyle w:val="biaogecenter"/>
        <w:rPr>
          <w:sz w:val="30"/>
          <w:szCs w:val="30"/>
        </w:rPr>
      </w:pPr>
      <w:r>
        <w:rPr>
          <w:rFonts w:hint="eastAsia"/>
          <w:b/>
          <w:bCs/>
          <w:sz w:val="30"/>
          <w:szCs w:val="30"/>
        </w:rPr>
        <w:t>中加颐睿纯债债券型证券投资基金分红公告</w:t>
      </w:r>
    </w:p>
    <w:p w:rsidR="00000000" w:rsidRDefault="00B1765C">
      <w:pPr>
        <w:pStyle w:val="biaogecenter"/>
        <w:rPr>
          <w:rFonts w:hint="eastAsia"/>
        </w:rPr>
      </w:pPr>
    </w:p>
    <w:p w:rsidR="00000000" w:rsidRDefault="00B1765C">
      <w:pPr>
        <w:pStyle w:val="biaogecenter"/>
        <w:rPr>
          <w:rFonts w:hint="eastAsia"/>
        </w:rPr>
      </w:pPr>
      <w:r>
        <w:rPr>
          <w:rFonts w:hint="eastAsia"/>
        </w:rPr>
        <w:t>公告送出日期：</w:t>
      </w:r>
      <w:r>
        <w:rPr>
          <w:rFonts w:hint="eastAsia"/>
        </w:rPr>
        <w:t>2024</w:t>
      </w:r>
      <w:r>
        <w:rPr>
          <w:rFonts w:hint="eastAsia"/>
        </w:rPr>
        <w:t>年</w:t>
      </w:r>
      <w:r>
        <w:rPr>
          <w:rFonts w:hint="eastAsia"/>
        </w:rPr>
        <w:t>04</w:t>
      </w:r>
      <w:r>
        <w:rPr>
          <w:rFonts w:hint="eastAsia"/>
        </w:rPr>
        <w:t>月</w:t>
      </w:r>
      <w:r>
        <w:rPr>
          <w:rFonts w:hint="eastAsia"/>
        </w:rPr>
        <w:t>03</w:t>
      </w:r>
      <w:r>
        <w:rPr>
          <w:rFonts w:hint="eastAsia"/>
        </w:rPr>
        <w:t>日</w:t>
      </w:r>
    </w:p>
    <w:p w:rsidR="00000000" w:rsidRDefault="00B1765C">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B1765C">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1149"/>
        <w:gridCol w:w="2151"/>
        <w:gridCol w:w="2475"/>
        <w:gridCol w:w="2475"/>
      </w:tblGrid>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基金名称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中加颐睿纯债债券型证券投资基金</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基金简称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中加颐睿纯债债券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基金主代码</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006066</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基金合同生效日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2018</w:t>
            </w:r>
            <w:r>
              <w:rPr>
                <w:rFonts w:hint="eastAsia"/>
              </w:rPr>
              <w:t>年</w:t>
            </w:r>
            <w:r>
              <w:rPr>
                <w:rFonts w:hint="eastAsia"/>
              </w:rPr>
              <w:t>07</w:t>
            </w:r>
            <w:r>
              <w:rPr>
                <w:rFonts w:hint="eastAsia"/>
              </w:rPr>
              <w:t>月</w:t>
            </w:r>
            <w:r>
              <w:rPr>
                <w:rFonts w:hint="eastAsia"/>
              </w:rPr>
              <w:t>25</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基金管理人名称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中加基金管理有限公司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基金托管人名称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中国光大银行股份有限公司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公告依据</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根据《中华人民共和国证券投资基金法》、《公开募集证券投资基金运作管理办法》等法律法规以及《中加颐睿纯债债券型证券投资基金基金合同》、《中加颐睿纯债债券型证券投资基金招募说明书</w:t>
            </w:r>
            <w:r>
              <w:rPr>
                <w:rFonts w:hint="eastAsia"/>
              </w:rPr>
              <w:t>》的有关规定</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收益分配基准日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2024</w:t>
            </w:r>
            <w:r>
              <w:rPr>
                <w:rFonts w:hint="eastAsia"/>
              </w:rPr>
              <w:t>年</w:t>
            </w:r>
            <w:r>
              <w:rPr>
                <w:rFonts w:hint="eastAsia"/>
              </w:rPr>
              <w:t>03</w:t>
            </w:r>
            <w:r>
              <w:rPr>
                <w:rFonts w:hint="eastAsia"/>
              </w:rPr>
              <w:t>月</w:t>
            </w:r>
            <w:r>
              <w:rPr>
                <w:rFonts w:hint="eastAsia"/>
              </w:rPr>
              <w:t>26</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有关年度分红次数的说明</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本基金本次分红为</w:t>
            </w:r>
            <w:r>
              <w:rPr>
                <w:rFonts w:hint="eastAsia"/>
              </w:rPr>
              <w:t>2024</w:t>
            </w:r>
            <w:r>
              <w:rPr>
                <w:rFonts w:hint="eastAsia"/>
              </w:rPr>
              <w:t>年度第</w:t>
            </w:r>
            <w:r>
              <w:rPr>
                <w:rFonts w:hint="eastAsia"/>
              </w:rPr>
              <w:t>1</w:t>
            </w:r>
            <w:r>
              <w:rPr>
                <w:rFonts w:hint="eastAsia"/>
              </w:rPr>
              <w:t>次分红</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下属基金份额类别的基金简称</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中加颐睿纯债债券</w:t>
            </w:r>
            <w:r>
              <w:rPr>
                <w:rFonts w:hint="eastAsia"/>
              </w:rPr>
              <w:t>A</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中加颐睿纯债债券</w:t>
            </w:r>
            <w:r>
              <w:rPr>
                <w:rFonts w:hint="eastAsia"/>
              </w:rPr>
              <w:t>C</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下属基金份额类别的交易代码</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006066</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006067</w:t>
            </w:r>
          </w:p>
        </w:tc>
      </w:tr>
      <w:tr w:rsidR="00000000">
        <w:tc>
          <w:tcPr>
            <w:tcW w:w="1149"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截止基准日下属基金份额类别的相关指标</w:t>
            </w: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基准日下属基金份额类别净值（单位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1.0545</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1.0401</w:t>
            </w:r>
          </w:p>
        </w:tc>
      </w:tr>
      <w:tr w:rsidR="00000000">
        <w:tc>
          <w:tcPr>
            <w:tcW w:w="1149" w:type="dxa"/>
            <w:vMerge/>
            <w:tcBorders>
              <w:top w:val="single" w:sz="8" w:space="0" w:color="000000"/>
              <w:left w:val="single" w:sz="8" w:space="0" w:color="000000"/>
              <w:bottom w:val="single" w:sz="6" w:space="0" w:color="000000"/>
              <w:right w:val="single" w:sz="8" w:space="0" w:color="000000"/>
            </w:tcBorders>
            <w:vAlign w:val="center"/>
          </w:tcPr>
          <w:p w:rsidR="00000000" w:rsidRDefault="00B1765C">
            <w:pPr>
              <w:widowControl/>
              <w:jc w:val="left"/>
              <w:rPr>
                <w:rFonts w:ascii="宋体" w:eastAsia="宋体" w:hAnsi="宋体" w:cs="宋体"/>
                <w:kern w:val="0"/>
                <w:sz w:val="24"/>
                <w:szCs w:val="24"/>
              </w:rPr>
            </w:pP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基准日下属基金份额类别可供分配利润（单位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201,435,358.64</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103,613.60</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本次下属基金份额类别分红方案（单位</w:t>
            </w:r>
            <w:r>
              <w:rPr>
                <w:rFonts w:hint="eastAsia"/>
              </w:rPr>
              <w:t>:</w:t>
            </w:r>
            <w:r>
              <w:rPr>
                <w:rFonts w:hint="eastAsia"/>
              </w:rPr>
              <w:t>元</w:t>
            </w:r>
            <w:r>
              <w:rPr>
                <w:rFonts w:hint="eastAsia"/>
              </w:rPr>
              <w:t>/10</w:t>
            </w:r>
            <w:r>
              <w:rPr>
                <w:rFonts w:hint="eastAsia"/>
              </w:rPr>
              <w:t>份基金份额）</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0.10</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0.10</w:t>
            </w:r>
          </w:p>
        </w:tc>
      </w:tr>
    </w:tbl>
    <w:p w:rsidR="00000000" w:rsidRDefault="00B1765C">
      <w:pPr>
        <w:widowControl/>
        <w:jc w:val="left"/>
        <w:rPr>
          <w:rFonts w:ascii="宋体" w:eastAsia="宋体" w:hAnsi="宋体" w:cs="宋体" w:hint="eastAsia"/>
          <w:kern w:val="0"/>
          <w:sz w:val="24"/>
          <w:szCs w:val="24"/>
        </w:rPr>
      </w:pPr>
    </w:p>
    <w:p w:rsidR="00000000" w:rsidRDefault="00B1765C">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B1765C">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352"/>
        <w:gridCol w:w="4898"/>
      </w:tblGrid>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权益登记日</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08</w:t>
            </w:r>
            <w:r>
              <w:rPr>
                <w:rFonts w:hAnsi="等线" w:hint="eastAsia"/>
                <w:color w:val="000000"/>
              </w:rPr>
              <w:t>日</w:t>
            </w:r>
          </w:p>
        </w:tc>
      </w:tr>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除息日</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08</w:t>
            </w:r>
            <w:r>
              <w:rPr>
                <w:rFonts w:hAnsi="等线" w:hint="eastAsia"/>
                <w:color w:val="000000"/>
              </w:rPr>
              <w:t>日</w:t>
            </w:r>
          </w:p>
        </w:tc>
      </w:tr>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现金红利发放日</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09</w:t>
            </w:r>
            <w:r>
              <w:rPr>
                <w:rFonts w:hAnsi="等线" w:hint="eastAsia"/>
                <w:color w:val="000000"/>
              </w:rPr>
              <w:t>日</w:t>
            </w:r>
          </w:p>
        </w:tc>
      </w:tr>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分红对象</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Ansi="等线" w:hint="eastAsia"/>
                <w:color w:val="000000"/>
              </w:rPr>
              <w:t>权益登记日在中加基金管理有限公司登记在册的本基金的全体基金份额持有人。</w:t>
            </w:r>
          </w:p>
        </w:tc>
      </w:tr>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红利再投资相关事项的说明</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08</w:t>
            </w:r>
            <w:r>
              <w:rPr>
                <w:rFonts w:hAnsi="等线" w:hint="eastAsia"/>
                <w:color w:val="000000"/>
              </w:rPr>
              <w:t>日除权后的基金份额净值为计算基准确定再投资份额，红利再投资所转换的基金份额于</w:t>
            </w: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09</w:t>
            </w:r>
            <w:r>
              <w:rPr>
                <w:rFonts w:hAnsi="等线" w:hint="eastAsia"/>
                <w:color w:val="000000"/>
              </w:rPr>
              <w:t>日直接划入其基金账户。本公司对红利再投资所产生的</w:t>
            </w:r>
            <w:r>
              <w:rPr>
                <w:rFonts w:hAnsi="等线" w:hint="eastAsia"/>
                <w:color w:val="000000"/>
              </w:rPr>
              <w:t>基金份额进行确认并通知各销售机构。</w:t>
            </w: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10</w:t>
            </w:r>
            <w:r>
              <w:rPr>
                <w:rFonts w:hAnsi="等线" w:hint="eastAsia"/>
                <w:color w:val="000000"/>
              </w:rPr>
              <w:t>日起投资者可以查询。</w:t>
            </w:r>
          </w:p>
        </w:tc>
      </w:tr>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税收相关事项的说明</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号《关于开放式证券投资基金有关税收问题的通知》，基金向投资者分配的基金收益，暂免征收所得税。</w:t>
            </w:r>
          </w:p>
        </w:tc>
      </w:tr>
      <w:tr w:rsidR="00000000">
        <w:tc>
          <w:tcPr>
            <w:tcW w:w="3352"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wordWrap w:val="0"/>
              <w:rPr>
                <w:rFonts w:hint="eastAsia"/>
              </w:rPr>
            </w:pPr>
            <w:r>
              <w:rPr>
                <w:rFonts w:hint="eastAsia"/>
              </w:rPr>
              <w:t>费用相关事项的说明</w:t>
            </w:r>
          </w:p>
        </w:tc>
        <w:tc>
          <w:tcPr>
            <w:tcW w:w="4898" w:type="dxa"/>
            <w:tcBorders>
              <w:top w:val="single" w:sz="8" w:space="0" w:color="000000"/>
              <w:left w:val="single" w:sz="8" w:space="0" w:color="000000"/>
              <w:bottom w:val="single" w:sz="6" w:space="0" w:color="000000"/>
              <w:right w:val="single" w:sz="8" w:space="0" w:color="000000"/>
            </w:tcBorders>
            <w:vAlign w:val="center"/>
          </w:tcPr>
          <w:p w:rsidR="00000000" w:rsidRDefault="00B1765C">
            <w:pPr>
              <w:pStyle w:val="biaogeleft"/>
              <w:numPr>
                <w:ilvl w:val="0"/>
                <w:numId w:val="1"/>
              </w:numPr>
              <w:wordWrap w:val="0"/>
              <w:rPr>
                <w:rFonts w:hint="eastAsia"/>
              </w:rPr>
            </w:pPr>
            <w:r>
              <w:rPr>
                <w:rFonts w:hint="eastAsia"/>
              </w:rPr>
              <w:t>本基金本次分红免收分红手续费。</w:t>
            </w:r>
          </w:p>
          <w:p w:rsidR="00000000" w:rsidRDefault="00B1765C">
            <w:pPr>
              <w:pStyle w:val="biaogeleft"/>
              <w:wordWrap w:val="0"/>
              <w:ind w:left="0"/>
              <w:rPr>
                <w:rFonts w:hint="eastAsia"/>
              </w:rPr>
            </w:pPr>
            <w:r>
              <w:rPr>
                <w:rFonts w:hint="eastAsia"/>
              </w:rPr>
              <w:t>2</w:t>
            </w:r>
            <w:r>
              <w:rPr>
                <w:rFonts w:hint="eastAsia"/>
              </w:rPr>
              <w:t>、选择红利再投资方式的投资者其红利所转换的基金份额免收申购费用。</w:t>
            </w:r>
          </w:p>
        </w:tc>
      </w:tr>
    </w:tbl>
    <w:p w:rsidR="00000000" w:rsidRDefault="00B1765C">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B1765C">
      <w:pPr>
        <w:pStyle w:val="neirong"/>
        <w:numPr>
          <w:ilvl w:val="0"/>
          <w:numId w:val="1"/>
        </w:numPr>
        <w:ind w:firstLineChars="200" w:firstLine="480"/>
        <w:jc w:val="both"/>
        <w:rPr>
          <w:rFonts w:hint="eastAsia"/>
        </w:rPr>
      </w:pPr>
      <w:r>
        <w:rPr>
          <w:rFonts w:hint="eastAsia"/>
        </w:rPr>
        <w:t>对于未选择具体分红方式的投资者，本</w:t>
      </w:r>
      <w:r>
        <w:rPr>
          <w:rFonts w:hint="eastAsia"/>
        </w:rPr>
        <w:t>基金默认的分红方式为现金分红。</w:t>
      </w:r>
    </w:p>
    <w:p w:rsidR="00000000" w:rsidRDefault="00B1765C">
      <w:pPr>
        <w:pStyle w:val="neirong"/>
        <w:ind w:left="0"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2024</w:t>
      </w:r>
      <w:r>
        <w:rPr>
          <w:rFonts w:hint="eastAsia"/>
        </w:rPr>
        <w:t>年</w:t>
      </w:r>
      <w:r>
        <w:rPr>
          <w:rFonts w:hint="eastAsia"/>
        </w:rPr>
        <w:t>04</w:t>
      </w:r>
      <w:r>
        <w:rPr>
          <w:rFonts w:hint="eastAsia"/>
        </w:rPr>
        <w:t>月</w:t>
      </w:r>
      <w:r>
        <w:rPr>
          <w:rFonts w:hint="eastAsia"/>
        </w:rPr>
        <w:t>08</w:t>
      </w:r>
      <w:r>
        <w:rPr>
          <w:rFonts w:hint="eastAsia"/>
        </w:rPr>
        <w:t>日</w:t>
      </w:r>
      <w:r>
        <w:rPr>
          <w:rFonts w:hint="eastAsia"/>
        </w:rPr>
        <w:t>)</w:t>
      </w:r>
      <w:r>
        <w:rPr>
          <w:rFonts w:hint="eastAsia"/>
        </w:rPr>
        <w:t>最后一次选择的分红方式为准。如希望修改分红方式，请务必在</w:t>
      </w:r>
      <w:r>
        <w:rPr>
          <w:rFonts w:hint="eastAsia"/>
        </w:rPr>
        <w:t>2024</w:t>
      </w:r>
      <w:r>
        <w:rPr>
          <w:rFonts w:hint="eastAsia"/>
        </w:rPr>
        <w:t>年</w:t>
      </w:r>
      <w:r>
        <w:rPr>
          <w:rFonts w:hint="eastAsia"/>
        </w:rPr>
        <w:t>04</w:t>
      </w:r>
      <w:r>
        <w:rPr>
          <w:rFonts w:hint="eastAsia"/>
        </w:rPr>
        <w:t>月</w:t>
      </w:r>
      <w:r>
        <w:rPr>
          <w:rFonts w:hint="eastAsia"/>
        </w:rPr>
        <w:t>08</w:t>
      </w:r>
      <w:r>
        <w:rPr>
          <w:rFonts w:hint="eastAsia"/>
        </w:rPr>
        <w:t>日前</w:t>
      </w:r>
      <w:r>
        <w:rPr>
          <w:rFonts w:hint="eastAsia"/>
        </w:rPr>
        <w:t>(</w:t>
      </w:r>
      <w:r>
        <w:rPr>
          <w:rFonts w:hint="eastAsia"/>
        </w:rPr>
        <w:t>不含</w:t>
      </w:r>
      <w:r>
        <w:rPr>
          <w:rFonts w:hint="eastAsia"/>
        </w:rPr>
        <w:t>2024</w:t>
      </w:r>
      <w:r>
        <w:rPr>
          <w:rFonts w:hint="eastAsia"/>
        </w:rPr>
        <w:t>年</w:t>
      </w:r>
      <w:r>
        <w:rPr>
          <w:rFonts w:hint="eastAsia"/>
        </w:rPr>
        <w:t>04</w:t>
      </w:r>
      <w:r>
        <w:rPr>
          <w:rFonts w:hint="eastAsia"/>
        </w:rPr>
        <w:t>月</w:t>
      </w:r>
      <w:r>
        <w:rPr>
          <w:rFonts w:hint="eastAsia"/>
        </w:rPr>
        <w:t>08</w:t>
      </w:r>
      <w:r>
        <w:rPr>
          <w:rFonts w:hint="eastAsia"/>
        </w:rPr>
        <w:t>日</w:t>
      </w:r>
      <w:r>
        <w:rPr>
          <w:rFonts w:hint="eastAsia"/>
        </w:rPr>
        <w:t>)</w:t>
      </w:r>
      <w:r>
        <w:rPr>
          <w:rFonts w:hint="eastAsia"/>
        </w:rPr>
        <w:t>到销售网点办妥变更手续。</w:t>
      </w:r>
    </w:p>
    <w:p w:rsidR="00000000" w:rsidRDefault="00B1765C">
      <w:pPr>
        <w:widowControl/>
        <w:jc w:val="left"/>
        <w:rPr>
          <w:rFonts w:ascii="宋体" w:eastAsia="宋体" w:hAnsi="宋体" w:cs="宋体" w:hint="eastAsia"/>
          <w:kern w:val="0"/>
          <w:sz w:val="24"/>
          <w:szCs w:val="24"/>
        </w:rPr>
      </w:pPr>
    </w:p>
    <w:p w:rsidR="00000000" w:rsidRDefault="00B1765C">
      <w:pPr>
        <w:pStyle w:val="dazhangjie"/>
        <w:rPr>
          <w:rFonts w:hint="eastAsia"/>
        </w:rPr>
      </w:pPr>
      <w:r>
        <w:rPr>
          <w:rFonts w:hint="eastAsia"/>
          <w:b/>
          <w:bCs/>
        </w:rPr>
        <w:t xml:space="preserve">3 </w:t>
      </w:r>
      <w:r>
        <w:rPr>
          <w:rFonts w:hint="eastAsia"/>
          <w:b/>
          <w:bCs/>
        </w:rPr>
        <w:t>其他需要提示的事项</w:t>
      </w:r>
    </w:p>
    <w:p w:rsidR="00000000" w:rsidRDefault="00B1765C">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Fonts w:hint="eastAsia"/>
        </w:rPr>
        <w:t>http://www.bobbns.com/</w:t>
      </w:r>
    </w:p>
    <w:p w:rsidR="00000000" w:rsidRDefault="00B1765C">
      <w:pPr>
        <w:pStyle w:val="neirong"/>
        <w:ind w:firstLineChars="200" w:firstLine="480"/>
        <w:jc w:val="both"/>
        <w:rPr>
          <w:rFonts w:hint="eastAsia"/>
        </w:rPr>
      </w:pPr>
      <w:r>
        <w:rPr>
          <w:rFonts w:hint="eastAsia"/>
        </w:rPr>
        <w:lastRenderedPageBreak/>
        <w:t>风险提示：本基金管理人承诺以诚实信用、勤勉</w:t>
      </w:r>
      <w:r>
        <w:rPr>
          <w:rFonts w:hint="eastAsia"/>
        </w:rPr>
        <w:t>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等相关法律文件，并根据自身的投资目的、投资期限、投资经验、资产状况等判断基金是否和投资者的风险承受能力相适应，自主判断基金的投资价值，自主做出投资决策，自行承担投资风险。</w:t>
      </w:r>
    </w:p>
    <w:p w:rsidR="00000000" w:rsidRDefault="00B1765C">
      <w:pPr>
        <w:pStyle w:val="neirong"/>
        <w:ind w:firstLineChars="200" w:firstLine="480"/>
        <w:jc w:val="both"/>
        <w:rPr>
          <w:rFonts w:hint="eastAsia"/>
        </w:rPr>
      </w:pPr>
    </w:p>
    <w:p w:rsidR="00000000" w:rsidRDefault="00B1765C">
      <w:pPr>
        <w:pStyle w:val="neirong"/>
        <w:ind w:firstLineChars="200" w:firstLine="480"/>
        <w:jc w:val="both"/>
        <w:rPr>
          <w:rFonts w:hint="eastAsia"/>
        </w:rPr>
      </w:pPr>
      <w:r>
        <w:rPr>
          <w:rFonts w:hint="eastAsia"/>
        </w:rPr>
        <w:t>特此公告。</w:t>
      </w:r>
    </w:p>
    <w:p w:rsidR="00000000" w:rsidRDefault="00B1765C">
      <w:pPr>
        <w:pStyle w:val="neirong"/>
        <w:rPr>
          <w:rFonts w:hint="eastAsia"/>
        </w:rPr>
      </w:pPr>
    </w:p>
    <w:p w:rsidR="00000000" w:rsidRDefault="00B1765C">
      <w:pPr>
        <w:pStyle w:val="biaogeright"/>
        <w:rPr>
          <w:rFonts w:hint="eastAsia"/>
        </w:rPr>
      </w:pPr>
      <w:r>
        <w:rPr>
          <w:rFonts w:hAnsi="等线" w:hint="eastAsia"/>
          <w:color w:val="000000"/>
        </w:rPr>
        <w:t>中加基金管理有限公司</w:t>
      </w:r>
    </w:p>
    <w:p w:rsidR="00000000" w:rsidRDefault="00B1765C">
      <w:pPr>
        <w:pStyle w:val="biaogeright"/>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03</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62B15"/>
    <w:multiLevelType w:val="singleLevel"/>
    <w:tmpl w:val="66062B1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3CD"/>
    <w:rsid w:val="00B1765C"/>
    <w:rsid w:val="00C053CD"/>
    <w:rsid w:val="00E30F27"/>
    <w:rsid w:val="32EB0A7E"/>
    <w:rsid w:val="3BF74E66"/>
    <w:rsid w:val="7A6F23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页眉 Char"/>
    <w:link w:val="a4"/>
    <w:uiPriority w:val="99"/>
    <w:locked/>
    <w:rPr>
      <w:rFonts w:ascii="Times New Roman" w:hAnsi="Times New Roman" w:cs="Times New Roman" w:hint="default"/>
      <w:sz w:val="18"/>
      <w:szCs w:val="18"/>
    </w:rPr>
  </w:style>
  <w:style w:type="character" w:customStyle="1" w:styleId="Char0">
    <w:name w:val="页脚 Char"/>
    <w:link w:val="a5"/>
    <w:uiPriority w:val="99"/>
    <w:locked/>
    <w:rPr>
      <w:rFonts w:ascii="Times New Roman" w:hAnsi="Times New Roman" w:cs="Times New Roman" w:hint="default"/>
      <w:sz w:val="18"/>
      <w:szCs w:val="18"/>
    </w:rPr>
  </w:style>
  <w:style w:type="character" w:customStyle="1" w:styleId="a6">
    <w:name w:val="页脚 字符"/>
    <w:link w:val="a5"/>
    <w:uiPriority w:val="99"/>
    <w:semiHidden/>
    <w:rPr>
      <w:rFonts w:cs="Times New Roman"/>
      <w:sz w:val="18"/>
      <w:szCs w:val="18"/>
    </w:rPr>
  </w:style>
  <w:style w:type="character" w:customStyle="1" w:styleId="a7">
    <w:name w:val="页眉 字符"/>
    <w:link w:val="a4"/>
    <w:uiPriority w:val="99"/>
    <w:semiHidden/>
    <w:rPr>
      <w:rFonts w:cs="Times New Roman"/>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msonormalfy">
    <w:name w:val="msonormalfy"/>
    <w:qFormat/>
    <w:pPr>
      <w:widowControl w:val="0"/>
      <w:jc w:val="center"/>
    </w:pPr>
    <w:rPr>
      <w:rFonts w:cs="Times New Roman"/>
      <w:kern w:val="2"/>
      <w:sz w:val="33"/>
      <w:szCs w:val="22"/>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1302</Characters>
  <Application>Microsoft Office Word</Application>
  <DocSecurity>4</DocSecurity>
  <PresentationFormat/>
  <Lines>10</Lines>
  <Paragraphs>3</Paragraphs>
  <Slides>0</Slides>
  <Notes>0</Notes>
  <HiddenSlides>0</HiddenSlides>
  <MMClips>0</MMClips>
  <ScaleCrop>false</ScaleCrop>
  <Manager/>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2024-04-02T16:02:00Z</dcterms:created>
  <dcterms:modified xsi:type="dcterms:W3CDTF">2024-04-02T16:02:00Z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