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6A" w:rsidRDefault="00B9246A" w:rsidP="00B9246A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B9246A" w:rsidRPr="002C1BA8" w:rsidRDefault="00C60D9F" w:rsidP="00B9246A">
      <w:pPr>
        <w:jc w:val="center"/>
      </w:pPr>
      <w:r>
        <w:rPr>
          <w:rFonts w:cs="Times New Roman" w:hint="eastAsia"/>
          <w:b/>
          <w:sz w:val="48"/>
          <w:szCs w:val="48"/>
        </w:rPr>
        <w:t>关于</w:t>
      </w:r>
      <w:r w:rsidR="00C16DD4">
        <w:rPr>
          <w:rFonts w:cs="Times New Roman" w:hint="eastAsia"/>
          <w:b/>
          <w:sz w:val="48"/>
          <w:szCs w:val="48"/>
        </w:rPr>
        <w:t>工银瑞信新机遇灵活配置混合型证券投资基金</w:t>
      </w:r>
      <w:r w:rsidR="00525422">
        <w:rPr>
          <w:rFonts w:cs="Times New Roman" w:hint="eastAsia"/>
          <w:b/>
          <w:sz w:val="48"/>
          <w:szCs w:val="48"/>
        </w:rPr>
        <w:t>变更</w:t>
      </w:r>
      <w:r w:rsidR="002C1BA8" w:rsidRPr="002C1BA8">
        <w:rPr>
          <w:rFonts w:cs="Times New Roman" w:hint="eastAsia"/>
          <w:b/>
          <w:sz w:val="48"/>
          <w:szCs w:val="48"/>
        </w:rPr>
        <w:t>基金经理的公告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372838" w:rsidP="00B9246A">
      <w:pPr>
        <w:pStyle w:val="20"/>
        <w:tabs>
          <w:tab w:val="right" w:leader="dot" w:pos="8835"/>
        </w:tabs>
        <w:rPr>
          <w:rFonts w:ascii="Calibri" w:hAnsi="Calibri" w:cs="Times New Roman"/>
          <w:noProof/>
          <w:vanish/>
          <w:szCs w:val="22"/>
        </w:rPr>
      </w:pPr>
      <w:r w:rsidRPr="00372838">
        <w:rPr>
          <w:rFonts w:hint="eastAsia"/>
          <w:vanish/>
          <w:sz w:val="24"/>
          <w:szCs w:val="30"/>
        </w:rPr>
        <w:fldChar w:fldCharType="begin"/>
      </w:r>
      <w:r w:rsidR="00B9246A">
        <w:rPr>
          <w:rFonts w:hint="eastAsia"/>
          <w:vanish/>
          <w:sz w:val="24"/>
          <w:szCs w:val="30"/>
        </w:rPr>
        <w:instrText xml:space="preserve">?TOC \o "1-2" \n \h \z \u </w:instrText>
      </w:r>
      <w:r w:rsidRPr="00372838">
        <w:rPr>
          <w:rFonts w:hint="eastAsia"/>
          <w:vanish/>
          <w:sz w:val="24"/>
          <w:szCs w:val="30"/>
        </w:rPr>
        <w:fldChar w:fldCharType="separate"/>
      </w:r>
      <w:hyperlink r:id="rId7" w:anchor="_Toc510201001" w:history="1">
        <w:r w:rsidR="00B9246A">
          <w:rPr>
            <w:rStyle w:val="a5"/>
            <w:rFonts w:hint="eastAsia"/>
            <w:noProof/>
            <w:vanish/>
          </w:rPr>
          <w:t>0、公告标题</w:t>
        </w:r>
      </w:hyperlink>
      <w:r w:rsidR="00B9246A">
        <w:rPr>
          <w:rFonts w:ascii="Calibri" w:hAnsi="Calibri" w:cs="Times New Roman"/>
          <w:noProof/>
          <w:vanish/>
          <w:szCs w:val="22"/>
        </w:rPr>
        <w:t xml:space="preserve"> </w:t>
      </w:r>
    </w:p>
    <w:p w:rsidR="00B9246A" w:rsidRDefault="00372838" w:rsidP="00B9246A">
      <w:pPr>
        <w:pStyle w:val="20"/>
        <w:tabs>
          <w:tab w:val="right" w:leader="dot" w:pos="8835"/>
        </w:tabs>
        <w:rPr>
          <w:rFonts w:ascii="Calibri" w:hAnsi="Calibri" w:cs="Times New Roman"/>
          <w:noProof/>
          <w:vanish/>
          <w:szCs w:val="22"/>
        </w:rPr>
      </w:pPr>
      <w:hyperlink r:id="rId8" w:anchor="_Toc34322059" w:history="1">
        <w:r w:rsidR="00B9246A">
          <w:rPr>
            <w:rStyle w:val="a5"/>
            <w:rFonts w:hint="eastAsia"/>
            <w:noProof/>
            <w:vanish/>
          </w:rPr>
          <w:t>1.公告基本信息</w:t>
        </w:r>
      </w:hyperlink>
      <w:r w:rsidR="00B9246A">
        <w:rPr>
          <w:rFonts w:ascii="Calibri" w:hAnsi="Calibri" w:cs="Times New Roman"/>
          <w:noProof/>
          <w:vanish/>
          <w:szCs w:val="22"/>
        </w:rPr>
        <w:t xml:space="preserve"> </w:t>
      </w:r>
    </w:p>
    <w:p w:rsidR="00B9246A" w:rsidRDefault="00372838" w:rsidP="00B9246A">
      <w:pPr>
        <w:pStyle w:val="20"/>
        <w:tabs>
          <w:tab w:val="right" w:leader="dot" w:pos="8835"/>
        </w:tabs>
        <w:rPr>
          <w:rFonts w:ascii="Calibri" w:hAnsi="Calibri" w:cs="Times New Roman"/>
          <w:noProof/>
          <w:vanish/>
          <w:szCs w:val="22"/>
        </w:rPr>
      </w:pPr>
      <w:hyperlink r:id="rId9" w:anchor="_Toc34322062" w:history="1">
        <w:r w:rsidR="00B9246A">
          <w:rPr>
            <w:rStyle w:val="a5"/>
            <w:rFonts w:hint="eastAsia"/>
            <w:noProof/>
            <w:vanish/>
          </w:rPr>
          <w:t>2.离任基金经理的相关信息</w:t>
        </w:r>
      </w:hyperlink>
      <w:r w:rsidR="00B9246A">
        <w:rPr>
          <w:rFonts w:ascii="Calibri" w:hAnsi="Calibri" w:cs="Times New Roman"/>
          <w:noProof/>
          <w:vanish/>
          <w:szCs w:val="22"/>
        </w:rPr>
        <w:t xml:space="preserve"> </w:t>
      </w:r>
    </w:p>
    <w:p w:rsidR="00B9246A" w:rsidRDefault="00372838" w:rsidP="00B9246A">
      <w:pPr>
        <w:pStyle w:val="20"/>
        <w:tabs>
          <w:tab w:val="right" w:leader="dot" w:pos="8835"/>
        </w:tabs>
        <w:rPr>
          <w:rFonts w:ascii="Calibri" w:hAnsi="Calibri" w:cs="Times New Roman"/>
          <w:noProof/>
          <w:vanish/>
          <w:szCs w:val="22"/>
        </w:rPr>
      </w:pPr>
      <w:hyperlink r:id="rId10" w:anchor="_Toc34322063" w:history="1">
        <w:r w:rsidR="00B9246A">
          <w:rPr>
            <w:rStyle w:val="a5"/>
            <w:rFonts w:hint="eastAsia"/>
            <w:noProof/>
            <w:vanish/>
          </w:rPr>
          <w:t>3.其他需要提示的事项</w:t>
        </w:r>
      </w:hyperlink>
      <w:r w:rsidR="00B9246A">
        <w:rPr>
          <w:rFonts w:ascii="Calibri" w:hAnsi="Calibri" w:cs="Times New Roman"/>
          <w:noProof/>
          <w:vanish/>
          <w:szCs w:val="22"/>
        </w:rPr>
        <w:t xml:space="preserve"> </w:t>
      </w:r>
    </w:p>
    <w:p w:rsidR="00B9246A" w:rsidRDefault="00372838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 w:rsidR="00B9246A"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B9246A" w:rsidRDefault="00B9246A" w:rsidP="00B9246A">
      <w:pPr>
        <w:spacing w:line="360" w:lineRule="auto"/>
        <w:jc w:val="center"/>
      </w:pPr>
      <w:r>
        <w:rPr>
          <w:rFonts w:hint="eastAsia"/>
          <w:b/>
          <w:bCs/>
          <w:sz w:val="24"/>
          <w:szCs w:val="30"/>
        </w:rPr>
        <w:t>公告送出日期：</w:t>
      </w:r>
      <w:r w:rsidR="00795A88">
        <w:rPr>
          <w:rFonts w:hint="eastAsia"/>
          <w:b/>
          <w:bCs/>
          <w:sz w:val="24"/>
          <w:szCs w:val="30"/>
        </w:rPr>
        <w:t>2024年4月3日</w:t>
      </w:r>
    </w:p>
    <w:p w:rsidR="00B9246A" w:rsidRDefault="00B9246A" w:rsidP="00B9246A">
      <w:pPr>
        <w:pStyle w:val="XBRLTitle1"/>
        <w:tabs>
          <w:tab w:val="clear" w:pos="360"/>
          <w:tab w:val="left" w:pos="420"/>
        </w:tabs>
        <w:spacing w:before="156"/>
        <w:ind w:left="425" w:hanging="425"/>
        <w:jc w:val="left"/>
        <w:rPr>
          <w:szCs w:val="24"/>
        </w:rPr>
      </w:pPr>
      <w:bookmarkStart w:id="1" w:name="_GoBack"/>
      <w:bookmarkEnd w:id="1"/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2" w:name="_Toc34322059"/>
      <w:bookmarkStart w:id="3" w:name="_Toc513295892"/>
      <w:bookmarkStart w:id="4" w:name="_Toc513295846"/>
      <w:bookmarkStart w:id="5" w:name="_Toc490050000"/>
      <w:bookmarkStart w:id="6" w:name="_Toc438646451"/>
      <w:bookmarkStart w:id="7" w:name="_Toc481075046"/>
      <w:bookmarkStart w:id="8" w:name="_Toc512519480"/>
      <w:bookmarkStart w:id="9" w:name="_Toc17897936"/>
      <w:bookmarkStart w:id="10" w:name="_Toc17898178"/>
      <w:bookmarkStart w:id="11" w:name="_Toc194311890"/>
      <w:bookmarkStart w:id="12" w:name="m01_01"/>
      <w:bookmarkStart w:id="13" w:name="m101"/>
      <w:r>
        <w:rPr>
          <w:rFonts w:hint="eastAsia"/>
          <w:szCs w:val="24"/>
        </w:rPr>
        <w:lastRenderedPageBreak/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6002"/>
      </w:tblGrid>
      <w:tr w:rsidR="00B9246A" w:rsidTr="00C81980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6A" w:rsidRDefault="00B9246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基金名称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6A" w:rsidRDefault="00C16DD4" w:rsidP="0094007D">
            <w:pPr>
              <w:spacing w:line="312" w:lineRule="exact"/>
            </w:pPr>
            <w:r>
              <w:rPr>
                <w:rFonts w:hint="eastAsia"/>
                <w:color w:val="000000"/>
                <w:szCs w:val="21"/>
              </w:rPr>
              <w:t>工银瑞信新机遇灵活配置混合型证券投资基金</w:t>
            </w:r>
            <w:r w:rsidR="006108EC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B9246A" w:rsidTr="00C81980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6A" w:rsidRDefault="00B9246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基金简称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6A" w:rsidRDefault="00C16DD4">
            <w:pPr>
              <w:spacing w:line="312" w:lineRule="exact"/>
            </w:pPr>
            <w:r w:rsidRPr="00C16DD4">
              <w:rPr>
                <w:rFonts w:hint="eastAsia"/>
                <w:color w:val="000000"/>
                <w:szCs w:val="21"/>
              </w:rPr>
              <w:t>工银新机遇灵活配置混合</w:t>
            </w:r>
          </w:p>
        </w:tc>
      </w:tr>
      <w:tr w:rsidR="00B9246A" w:rsidTr="00C81980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6A" w:rsidRDefault="00B9246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基金主代码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6A" w:rsidRPr="00B9246A" w:rsidRDefault="00C16DD4" w:rsidP="002C1BA8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002003</w:t>
            </w:r>
          </w:p>
        </w:tc>
      </w:tr>
      <w:tr w:rsidR="00B9246A" w:rsidTr="00C81980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6A" w:rsidRDefault="00B9246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基金管理人名称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6A" w:rsidRDefault="00B9246A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工银瑞信基金管理有限公司</w:t>
            </w:r>
          </w:p>
        </w:tc>
      </w:tr>
      <w:tr w:rsidR="00B9246A" w:rsidTr="00C81980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6A" w:rsidRDefault="00B9246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公告依据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6A" w:rsidRDefault="00B9246A">
            <w:pPr>
              <w:spacing w:line="312" w:lineRule="exact"/>
              <w:rPr>
                <w:sz w:val="20"/>
              </w:rPr>
            </w:pPr>
            <w:r>
              <w:rPr>
                <w:rFonts w:hint="eastAsia"/>
                <w:szCs w:val="21"/>
              </w:rPr>
              <w:t>根据《中华人民共和国证券投资基金法》、《公开募集证券投资基金运作管理办法》、《公开募集证券投资基金信息披露管理办法》及其他有关法律法规以及本基金相关法律文件等。</w:t>
            </w:r>
          </w:p>
        </w:tc>
      </w:tr>
      <w:tr w:rsidR="00B9246A" w:rsidTr="00C81980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6A" w:rsidRDefault="00B9246A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基金经理变更类型 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6A" w:rsidRDefault="00852A36">
            <w:pPr>
              <w:spacing w:line="312" w:lineRule="exact"/>
            </w:pPr>
            <w:r>
              <w:rPr>
                <w:rFonts w:hint="eastAsia"/>
                <w:color w:val="000000"/>
                <w:szCs w:val="21"/>
              </w:rPr>
              <w:t>解聘基金经理</w:t>
            </w:r>
          </w:p>
        </w:tc>
      </w:tr>
      <w:tr w:rsidR="00B9246A" w:rsidTr="00C81980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46A" w:rsidRDefault="00C81980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共同管理本基金的其他基金经理姓名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46A" w:rsidRDefault="00C16DD4">
            <w:pPr>
              <w:spacing w:line="312" w:lineRule="exact"/>
            </w:pPr>
            <w:r w:rsidRPr="00C16DD4">
              <w:rPr>
                <w:rFonts w:hint="eastAsia"/>
                <w:color w:val="000000"/>
                <w:szCs w:val="21"/>
              </w:rPr>
              <w:t>焦文龙</w:t>
            </w:r>
          </w:p>
        </w:tc>
      </w:tr>
      <w:tr w:rsidR="00C81980" w:rsidTr="00C81980"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980" w:rsidRDefault="00883F07" w:rsidP="00C81980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离任</w:t>
            </w:r>
            <w:r w:rsidR="00C81980">
              <w:rPr>
                <w:rFonts w:hint="eastAsia"/>
                <w:color w:val="000000"/>
                <w:szCs w:val="21"/>
                <w:shd w:val="clear" w:color="auto" w:fill="FFFFFF"/>
              </w:rPr>
              <w:t>基金经理姓名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980" w:rsidRDefault="00C16DD4" w:rsidP="00C81980">
            <w:pPr>
              <w:spacing w:line="312" w:lineRule="exact"/>
            </w:pPr>
            <w:r w:rsidRPr="00C16DD4">
              <w:rPr>
                <w:rFonts w:hint="eastAsia"/>
              </w:rPr>
              <w:t>张乐涛</w:t>
            </w:r>
          </w:p>
        </w:tc>
      </w:tr>
    </w:tbl>
    <w:p w:rsidR="00525422" w:rsidRDefault="00525422" w:rsidP="00525422">
      <w:pPr>
        <w:pStyle w:val="XBRLTitle1"/>
        <w:numPr>
          <w:ilvl w:val="0"/>
          <w:numId w:val="0"/>
        </w:numPr>
        <w:tabs>
          <w:tab w:val="left" w:pos="420"/>
        </w:tabs>
        <w:spacing w:before="156" w:line="360" w:lineRule="auto"/>
        <w:jc w:val="left"/>
        <w:rPr>
          <w:rFonts w:hAnsi="宋体"/>
          <w:szCs w:val="24"/>
        </w:rPr>
      </w:pPr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</w:p>
    <w:bookmarkEnd w:id="14"/>
    <w:bookmarkEnd w:id="15"/>
    <w:bookmarkEnd w:id="16"/>
    <w:bookmarkEnd w:id="17"/>
    <w:bookmarkEnd w:id="18"/>
    <w:bookmarkEnd w:id="19"/>
    <w:bookmarkEnd w:id="20"/>
    <w:bookmarkEnd w:id="21"/>
    <w:p w:rsidR="00525422" w:rsidRDefault="00525422" w:rsidP="00525422">
      <w:pPr>
        <w:pStyle w:val="XBRLTitle1"/>
        <w:tabs>
          <w:tab w:val="clear" w:pos="360"/>
          <w:tab w:val="left" w:pos="420"/>
        </w:tabs>
        <w:spacing w:before="156" w:line="360" w:lineRule="auto"/>
        <w:ind w:left="425" w:hanging="425"/>
        <w:jc w:val="left"/>
        <w:rPr>
          <w:rFonts w:hAnsi="宋体"/>
          <w:szCs w:val="24"/>
        </w:rPr>
      </w:pPr>
      <w:r>
        <w:rPr>
          <w:rFonts w:hAnsi="宋体" w:hint="eastAsia"/>
          <w:szCs w:val="24"/>
        </w:rPr>
        <w:t xml:space="preserve">离任基金经理的相关信息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004"/>
      </w:tblGrid>
      <w:tr w:rsidR="00525422" w:rsidTr="008E4D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22" w:rsidRDefault="00525422" w:rsidP="008E4DDE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离任基金经理姓名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22" w:rsidRDefault="00C16DD4" w:rsidP="008E4DDE">
            <w:pPr>
              <w:spacing w:line="312" w:lineRule="exact"/>
            </w:pPr>
            <w:r w:rsidRPr="00C16DD4">
              <w:rPr>
                <w:rFonts w:hint="eastAsia"/>
              </w:rPr>
              <w:t>张乐涛</w:t>
            </w:r>
          </w:p>
        </w:tc>
      </w:tr>
      <w:tr w:rsidR="00525422" w:rsidTr="008E4D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22" w:rsidRDefault="00525422" w:rsidP="008E4DDE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离任原因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22" w:rsidRPr="0094007D" w:rsidRDefault="00C81980" w:rsidP="008E4DDE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根据公司工作需要和人员配置状况</w:t>
            </w:r>
          </w:p>
        </w:tc>
      </w:tr>
      <w:tr w:rsidR="00525422" w:rsidTr="008E4D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22" w:rsidRDefault="00525422" w:rsidP="008E4DDE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离任日期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22" w:rsidRDefault="00525422" w:rsidP="008E4DDE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202</w:t>
            </w:r>
            <w:r w:rsidR="00C16DD4"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="00C16DD4">
              <w:rPr>
                <w:color w:val="000000"/>
                <w:kern w:val="0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="00C16DD4"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525422" w:rsidTr="008E4D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22" w:rsidRDefault="00525422" w:rsidP="008E4DDE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转任本公司其他工作岗位的说明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22" w:rsidRPr="0094007D" w:rsidRDefault="00C16DD4" w:rsidP="00EB24F9">
            <w:pPr>
              <w:pStyle w:val="Default"/>
              <w:jc w:val="both"/>
              <w:rPr>
                <w:sz w:val="21"/>
                <w:szCs w:val="21"/>
              </w:rPr>
            </w:pPr>
            <w:r w:rsidRPr="002217D7">
              <w:rPr>
                <w:rFonts w:hint="eastAsia"/>
                <w:sz w:val="21"/>
                <w:szCs w:val="21"/>
              </w:rPr>
              <w:t>继续担任</w:t>
            </w:r>
            <w:r w:rsidR="006D59AB" w:rsidRPr="006D59AB">
              <w:rPr>
                <w:rFonts w:hint="eastAsia"/>
                <w:sz w:val="21"/>
                <w:szCs w:val="21"/>
              </w:rPr>
              <w:t>工银瑞信基本面量化策略混合型证券投资基金</w:t>
            </w:r>
            <w:r w:rsidR="006D59AB">
              <w:rPr>
                <w:rFonts w:hint="eastAsia"/>
                <w:sz w:val="21"/>
                <w:szCs w:val="21"/>
              </w:rPr>
              <w:t>、</w:t>
            </w:r>
            <w:r w:rsidRPr="007E54A9">
              <w:rPr>
                <w:rFonts w:hint="eastAsia"/>
                <w:sz w:val="21"/>
                <w:szCs w:val="21"/>
              </w:rPr>
              <w:t>工银瑞信绝对收益策略混合型发起式证券投资基金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7E54A9">
              <w:rPr>
                <w:rFonts w:hint="eastAsia"/>
                <w:sz w:val="21"/>
                <w:szCs w:val="21"/>
              </w:rPr>
              <w:t>工银瑞信中证</w:t>
            </w:r>
            <w:r w:rsidRPr="007E54A9">
              <w:rPr>
                <w:sz w:val="21"/>
                <w:szCs w:val="21"/>
              </w:rPr>
              <w:t>1000增强策略交易型开放式指数证券投资基金</w:t>
            </w:r>
            <w:r w:rsidRPr="002217D7">
              <w:rPr>
                <w:sz w:val="21"/>
                <w:szCs w:val="21"/>
              </w:rPr>
              <w:t>基金经理。</w:t>
            </w:r>
          </w:p>
        </w:tc>
      </w:tr>
      <w:tr w:rsidR="00525422" w:rsidTr="008E4D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22" w:rsidRDefault="00525422" w:rsidP="008E4DDE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是否已按规定在中国基金业协会办理变更手续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22" w:rsidRDefault="00525422" w:rsidP="008E4DDE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是</w:t>
            </w:r>
          </w:p>
        </w:tc>
      </w:tr>
      <w:tr w:rsidR="00525422" w:rsidTr="008E4DD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22" w:rsidRDefault="00525422" w:rsidP="008E4DDE">
            <w:pPr>
              <w:spacing w:line="312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是否已按规定在中国基金业协会办理注销手续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22" w:rsidRDefault="00525422" w:rsidP="008E4DDE">
            <w:pPr>
              <w:spacing w:line="312" w:lineRule="exact"/>
            </w:pPr>
            <w:r>
              <w:rPr>
                <w:rFonts w:hint="eastAsia"/>
                <w:color w:val="000000"/>
                <w:kern w:val="0"/>
                <w:szCs w:val="21"/>
              </w:rPr>
              <w:t>否</w:t>
            </w:r>
          </w:p>
        </w:tc>
      </w:tr>
    </w:tbl>
    <w:p w:rsidR="00525422" w:rsidRDefault="00525422" w:rsidP="00525422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9246A" w:rsidRDefault="00B9246A" w:rsidP="00B9246A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9246A" w:rsidRDefault="00B9246A" w:rsidP="00B9246A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B9246A" w:rsidRPr="00EB24F9" w:rsidRDefault="00B9246A" w:rsidP="00B9246A">
      <w:pPr>
        <w:spacing w:line="360" w:lineRule="auto"/>
        <w:ind w:firstLineChars="600" w:firstLine="1446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工银瑞信基金管理有限公司</w:t>
      </w:r>
    </w:p>
    <w:p w:rsidR="00B9246A" w:rsidRPr="00EB24F9" w:rsidRDefault="00795A88" w:rsidP="00B9246A">
      <w:pPr>
        <w:spacing w:line="360" w:lineRule="auto"/>
        <w:ind w:firstLineChars="600" w:firstLine="1446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2024年4月3日</w:t>
      </w:r>
      <w:bookmarkEnd w:id="22"/>
    </w:p>
    <w:p w:rsidR="00AB268C" w:rsidRDefault="00AB268C"/>
    <w:sectPr w:rsidR="00AB268C" w:rsidSect="00372838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9C" w:rsidRDefault="00C23B9C" w:rsidP="00B9246A">
      <w:r>
        <w:separator/>
      </w:r>
    </w:p>
  </w:endnote>
  <w:endnote w:type="continuationSeparator" w:id="0">
    <w:p w:rsidR="00C23B9C" w:rsidRDefault="00C23B9C" w:rsidP="00B9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9C" w:rsidRDefault="00C23B9C" w:rsidP="00B9246A">
      <w:r>
        <w:separator/>
      </w:r>
    </w:p>
  </w:footnote>
  <w:footnote w:type="continuationSeparator" w:id="0">
    <w:p w:rsidR="00C23B9C" w:rsidRDefault="00C23B9C" w:rsidP="00B92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85" w:rsidRPr="002C1BA8" w:rsidRDefault="00C60D9F" w:rsidP="002C1BA8">
    <w:pPr>
      <w:pStyle w:val="a3"/>
    </w:pPr>
    <w:r>
      <w:rPr>
        <w:rFonts w:hint="eastAsia"/>
      </w:rPr>
      <w:t>关于</w:t>
    </w:r>
    <w:r w:rsidR="00C16DD4">
      <w:rPr>
        <w:rFonts w:hint="eastAsia"/>
      </w:rPr>
      <w:t>工银瑞信新机遇灵活配置混合型证券投资基金</w:t>
    </w:r>
    <w:r w:rsidR="00525422">
      <w:rPr>
        <w:rFonts w:hint="eastAsia"/>
      </w:rPr>
      <w:t>变更</w:t>
    </w:r>
    <w:r w:rsidR="002C1BA8" w:rsidRPr="002C1BA8">
      <w:rPr>
        <w:rFonts w:hint="eastAsia"/>
      </w:rPr>
      <w:t>基金经理的公告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84C"/>
    <w:rsid w:val="00001BC6"/>
    <w:rsid w:val="000C16D4"/>
    <w:rsid w:val="000D0079"/>
    <w:rsid w:val="000E0344"/>
    <w:rsid w:val="00136694"/>
    <w:rsid w:val="00145643"/>
    <w:rsid w:val="001E4746"/>
    <w:rsid w:val="002A5C85"/>
    <w:rsid w:val="002B6C3C"/>
    <w:rsid w:val="002C1BA8"/>
    <w:rsid w:val="00372838"/>
    <w:rsid w:val="003A5BB9"/>
    <w:rsid w:val="00426E7C"/>
    <w:rsid w:val="00525422"/>
    <w:rsid w:val="005358D1"/>
    <w:rsid w:val="005D68D6"/>
    <w:rsid w:val="006108EC"/>
    <w:rsid w:val="00657BFF"/>
    <w:rsid w:val="00680446"/>
    <w:rsid w:val="006D59AB"/>
    <w:rsid w:val="0077548A"/>
    <w:rsid w:val="00790C23"/>
    <w:rsid w:val="007919B8"/>
    <w:rsid w:val="00795A88"/>
    <w:rsid w:val="007F70FE"/>
    <w:rsid w:val="00823512"/>
    <w:rsid w:val="00852258"/>
    <w:rsid w:val="00852A36"/>
    <w:rsid w:val="00870543"/>
    <w:rsid w:val="0087784C"/>
    <w:rsid w:val="0088022A"/>
    <w:rsid w:val="00883F07"/>
    <w:rsid w:val="008F7F29"/>
    <w:rsid w:val="0094007D"/>
    <w:rsid w:val="009B2A19"/>
    <w:rsid w:val="00A26217"/>
    <w:rsid w:val="00A67281"/>
    <w:rsid w:val="00AB268C"/>
    <w:rsid w:val="00AC169B"/>
    <w:rsid w:val="00B02366"/>
    <w:rsid w:val="00B9246A"/>
    <w:rsid w:val="00C16DD4"/>
    <w:rsid w:val="00C2310B"/>
    <w:rsid w:val="00C23B9C"/>
    <w:rsid w:val="00C4597C"/>
    <w:rsid w:val="00C60D9F"/>
    <w:rsid w:val="00C81980"/>
    <w:rsid w:val="00CE681C"/>
    <w:rsid w:val="00D445D8"/>
    <w:rsid w:val="00D7207B"/>
    <w:rsid w:val="00E61427"/>
    <w:rsid w:val="00E907F3"/>
    <w:rsid w:val="00EA1353"/>
    <w:rsid w:val="00EA6B86"/>
    <w:rsid w:val="00EB24F9"/>
    <w:rsid w:val="00E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6A"/>
    <w:pPr>
      <w:widowControl w:val="0"/>
      <w:jc w:val="both"/>
    </w:pPr>
    <w:rPr>
      <w:rFonts w:ascii="宋体" w:eastAsia="宋体" w:hAnsi="宋体" w:cs="宋体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924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24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924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4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46A"/>
    <w:rPr>
      <w:sz w:val="18"/>
      <w:szCs w:val="18"/>
    </w:rPr>
  </w:style>
  <w:style w:type="character" w:styleId="a5">
    <w:name w:val="Hyperlink"/>
    <w:uiPriority w:val="99"/>
    <w:semiHidden/>
    <w:unhideWhenUsed/>
    <w:rsid w:val="00B9246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rsid w:val="00B9246A"/>
    <w:pPr>
      <w:ind w:leftChars="200" w:left="420"/>
    </w:pPr>
  </w:style>
  <w:style w:type="paragraph" w:customStyle="1" w:styleId="XBRL2">
    <w:name w:val="XBRL标题2"/>
    <w:basedOn w:val="a6"/>
    <w:next w:val="4"/>
    <w:qFormat/>
    <w:rsid w:val="00B9246A"/>
    <w:pPr>
      <w:keepNext/>
      <w:keepLines/>
      <w:spacing w:beforeLines="50" w:after="0" w:line="240" w:lineRule="auto"/>
      <w:jc w:val="left"/>
    </w:pPr>
    <w:rPr>
      <w:rFonts w:ascii="Cambria" w:eastAsia="宋体" w:hAnsi="Cambria" w:cs="宋体"/>
      <w:kern w:val="24"/>
      <w:sz w:val="24"/>
      <w:lang/>
    </w:rPr>
  </w:style>
  <w:style w:type="paragraph" w:customStyle="1" w:styleId="XBRLTitle1">
    <w:name w:val="XBRLTitle1"/>
    <w:basedOn w:val="1"/>
    <w:next w:val="2"/>
    <w:qFormat/>
    <w:rsid w:val="00B9246A"/>
    <w:pPr>
      <w:keepNext w:val="0"/>
      <w:keepLines w:val="0"/>
      <w:numPr>
        <w:numId w:val="1"/>
      </w:numPr>
      <w:tabs>
        <w:tab w:val="num" w:pos="360"/>
      </w:tabs>
      <w:spacing w:beforeLines="50" w:after="0" w:line="240" w:lineRule="auto"/>
      <w:ind w:left="0" w:firstLine="0"/>
      <w:jc w:val="center"/>
    </w:pPr>
    <w:rPr>
      <w:rFonts w:hAnsi="Cambria"/>
      <w:sz w:val="24"/>
      <w:lang/>
    </w:rPr>
  </w:style>
  <w:style w:type="paragraph" w:customStyle="1" w:styleId="XBRLTitle2">
    <w:name w:val="XBRLTitle2"/>
    <w:basedOn w:val="a6"/>
    <w:next w:val="4"/>
    <w:qFormat/>
    <w:rsid w:val="00B9246A"/>
    <w:pPr>
      <w:numPr>
        <w:ilvl w:val="1"/>
        <w:numId w:val="1"/>
      </w:numPr>
      <w:tabs>
        <w:tab w:val="num" w:pos="360"/>
      </w:tabs>
      <w:spacing w:beforeLines="50" w:after="0" w:line="240" w:lineRule="auto"/>
      <w:ind w:left="3602" w:firstLine="0"/>
      <w:jc w:val="left"/>
    </w:pPr>
    <w:rPr>
      <w:rFonts w:ascii="宋体" w:eastAsia="宋体" w:hAnsi="Cambria" w:cs="宋体"/>
      <w:kern w:val="24"/>
      <w:sz w:val="24"/>
      <w:lang/>
    </w:rPr>
  </w:style>
  <w:style w:type="paragraph" w:customStyle="1" w:styleId="XBRLTitle3">
    <w:name w:val="XBRLTitle3"/>
    <w:basedOn w:val="a6"/>
    <w:next w:val="4"/>
    <w:autoRedefine/>
    <w:qFormat/>
    <w:rsid w:val="00B9246A"/>
    <w:pPr>
      <w:numPr>
        <w:ilvl w:val="2"/>
        <w:numId w:val="1"/>
      </w:numPr>
      <w:tabs>
        <w:tab w:val="num" w:pos="360"/>
      </w:tabs>
      <w:spacing w:beforeLines="50" w:after="0" w:line="360" w:lineRule="auto"/>
      <w:ind w:left="0" w:firstLine="0"/>
      <w:jc w:val="left"/>
      <w:outlineLvl w:val="9"/>
    </w:pPr>
    <w:rPr>
      <w:rFonts w:ascii="宋体" w:eastAsia="宋体" w:hAnsi="Cambria" w:cs="宋体"/>
      <w:kern w:val="24"/>
      <w:sz w:val="24"/>
      <w:lang/>
    </w:rPr>
  </w:style>
  <w:style w:type="paragraph" w:styleId="a6">
    <w:name w:val="Subtitle"/>
    <w:basedOn w:val="a"/>
    <w:next w:val="a"/>
    <w:link w:val="Char1"/>
    <w:uiPriority w:val="11"/>
    <w:qFormat/>
    <w:rsid w:val="00B9246A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9246A"/>
    <w:rPr>
      <w:b/>
      <w:bCs/>
      <w:kern w:val="28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924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B9246A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924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rsid w:val="009400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11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0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B9B9B9"/>
                                    <w:left w:val="single" w:sz="6" w:space="0" w:color="B9B9B9"/>
                                    <w:bottom w:val="single" w:sz="6" w:space="11" w:color="B9B9B9"/>
                                    <w:right w:val="single" w:sz="6" w:space="0" w:color="B9B9B9"/>
                                  </w:divBdr>
                                  <w:divsChild>
                                    <w:div w:id="72969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9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05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80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B9B9B9"/>
                                    <w:left w:val="single" w:sz="6" w:space="0" w:color="B9B9B9"/>
                                    <w:bottom w:val="single" w:sz="6" w:space="11" w:color="B9B9B9"/>
                                    <w:right w:val="single" w:sz="6" w:space="0" w:color="B9B9B9"/>
                                  </w:divBdr>
                                  <w:divsChild>
                                    <w:div w:id="96222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yrx-lirm\AppData\Roaming\smartdottempdoc\132923280071051289\&#19978;&#35777;&#25253;--&#20851;&#20110;&#24037;&#38134;&#29790;&#20449;&#29790;&#30408;18&#20010;&#26376;&#23450;&#26399;&#24320;&#25918;&#20538;&#21048;&#22411;&#35777;&#21048;&#25237;&#36164;&#22522;&#37329;&#21464;&#26356;&#22522;&#37329;&#32463;&#29702;&#30340;&#20844;&#21578;0308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yrx-lirm\AppData\Roaming\smartdottempdoc\132923280071051289\&#19978;&#35777;&#25253;--&#20851;&#20110;&#24037;&#38134;&#29790;&#20449;&#29790;&#30408;18&#20010;&#26376;&#23450;&#26399;&#24320;&#25918;&#20538;&#21048;&#22411;&#35777;&#21048;&#25237;&#36164;&#22522;&#37329;&#21464;&#26356;&#22522;&#37329;&#32463;&#29702;&#30340;&#20844;&#21578;0308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gyrx-lirm\AppData\Roaming\smartdottempdoc\132923280071051289\&#19978;&#35777;&#25253;--&#20851;&#20110;&#24037;&#38134;&#29790;&#20449;&#29790;&#30408;18&#20010;&#26376;&#23450;&#26399;&#24320;&#25918;&#20538;&#21048;&#22411;&#35777;&#21048;&#25237;&#36164;&#22522;&#37329;&#21464;&#26356;&#22522;&#37329;&#32463;&#29702;&#30340;&#20844;&#21578;030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yrx-lirm\AppData\Roaming\smartdottempdoc\132923280071051289\&#19978;&#35777;&#25253;--&#20851;&#20110;&#24037;&#38134;&#29790;&#20449;&#29790;&#30408;18&#20010;&#26376;&#23450;&#26399;&#24320;&#25918;&#20538;&#21048;&#22411;&#35777;&#21048;&#25237;&#36164;&#22522;&#37329;&#21464;&#26356;&#22522;&#37329;&#32463;&#29702;&#30340;&#20844;&#21578;0308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4</DocSecurity>
  <Lines>9</Lines>
  <Paragraphs>2</Paragraphs>
  <ScaleCrop>false</ScaleCrop>
  <Company>ICBC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李锐敏</dc:creator>
  <cp:keywords/>
  <dc:description/>
  <cp:lastModifiedBy>ZHONGM</cp:lastModifiedBy>
  <cp:revision>2</cp:revision>
  <cp:lastPrinted>2023-09-28T00:27:00Z</cp:lastPrinted>
  <dcterms:created xsi:type="dcterms:W3CDTF">2024-04-02T16:02:00Z</dcterms:created>
  <dcterms:modified xsi:type="dcterms:W3CDTF">2024-04-02T16:02:00Z</dcterms:modified>
</cp:coreProperties>
</file>