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7D62">
      <w:pPr>
        <w:tabs>
          <w:tab w:val="left" w:pos="8280"/>
        </w:tabs>
        <w:spacing w:line="360" w:lineRule="auto"/>
        <w:jc w:val="center"/>
        <w:rPr>
          <w:rFonts w:eastAsia="黑体" w:cs="黑体" w:hint="eastAsia"/>
          <w:b/>
          <w:sz w:val="30"/>
          <w:szCs w:val="30"/>
        </w:rPr>
      </w:pPr>
      <w:r>
        <w:rPr>
          <w:rFonts w:eastAsia="黑体" w:cs="黑体" w:hint="eastAsia"/>
          <w:b/>
          <w:sz w:val="30"/>
          <w:szCs w:val="30"/>
        </w:rPr>
        <w:t>东吴增鑫宝货币市场基金</w:t>
      </w:r>
      <w:r>
        <w:rPr>
          <w:rFonts w:eastAsia="黑体" w:cs="黑体" w:hint="eastAsia"/>
          <w:b/>
          <w:sz w:val="30"/>
          <w:szCs w:val="30"/>
        </w:rPr>
        <w:t>2024</w:t>
      </w:r>
      <w:r>
        <w:rPr>
          <w:rFonts w:eastAsia="黑体" w:cs="黑体" w:hint="eastAsia"/>
          <w:b/>
          <w:sz w:val="30"/>
          <w:szCs w:val="30"/>
        </w:rPr>
        <w:t>年</w:t>
      </w:r>
      <w:r>
        <w:rPr>
          <w:rFonts w:eastAsia="黑体" w:cs="黑体" w:hint="eastAsia"/>
          <w:b/>
          <w:sz w:val="30"/>
          <w:szCs w:val="30"/>
        </w:rPr>
        <w:t>清明</w:t>
      </w:r>
      <w:r>
        <w:rPr>
          <w:rFonts w:eastAsia="黑体" w:cs="黑体" w:hint="eastAsia"/>
          <w:b/>
          <w:sz w:val="30"/>
          <w:szCs w:val="30"/>
        </w:rPr>
        <w:t>假期前</w:t>
      </w:r>
    </w:p>
    <w:p w:rsidR="00000000" w:rsidRDefault="00367D62">
      <w:pPr>
        <w:tabs>
          <w:tab w:val="left" w:pos="8280"/>
        </w:tabs>
        <w:spacing w:line="360" w:lineRule="auto"/>
        <w:jc w:val="center"/>
        <w:rPr>
          <w:rFonts w:eastAsia="黑体" w:cs="黑体" w:hint="eastAsia"/>
          <w:b/>
          <w:sz w:val="30"/>
          <w:szCs w:val="30"/>
        </w:rPr>
      </w:pPr>
      <w:r>
        <w:rPr>
          <w:rFonts w:eastAsia="黑体" w:cs="黑体" w:hint="eastAsia"/>
          <w:b/>
          <w:sz w:val="30"/>
          <w:szCs w:val="30"/>
        </w:rPr>
        <w:t>调整部分代销</w:t>
      </w:r>
      <w:r>
        <w:rPr>
          <w:rFonts w:eastAsia="黑体" w:cs="黑体" w:hint="eastAsia"/>
          <w:b/>
          <w:sz w:val="30"/>
          <w:szCs w:val="30"/>
        </w:rPr>
        <w:t>大额申购</w:t>
      </w:r>
      <w:r>
        <w:rPr>
          <w:rFonts w:eastAsia="黑体" w:cs="黑体" w:hint="eastAsia"/>
          <w:b/>
          <w:sz w:val="30"/>
          <w:szCs w:val="30"/>
        </w:rPr>
        <w:t>（含定期定额）、</w:t>
      </w:r>
      <w:r>
        <w:rPr>
          <w:rFonts w:eastAsia="黑体" w:cs="黑体" w:hint="eastAsia"/>
          <w:b/>
          <w:sz w:val="30"/>
          <w:szCs w:val="30"/>
        </w:rPr>
        <w:t>大额转换转入</w:t>
      </w:r>
      <w:r>
        <w:rPr>
          <w:rFonts w:eastAsia="黑体" w:cs="黑体" w:hint="eastAsia"/>
          <w:b/>
          <w:sz w:val="30"/>
          <w:szCs w:val="30"/>
        </w:rPr>
        <w:t>业务限额的</w:t>
      </w:r>
      <w:r>
        <w:rPr>
          <w:rFonts w:eastAsia="黑体" w:cs="黑体" w:hint="eastAsia"/>
          <w:b/>
          <w:sz w:val="30"/>
          <w:szCs w:val="30"/>
        </w:rPr>
        <w:t>公告</w:t>
      </w:r>
    </w:p>
    <w:p w:rsidR="00000000" w:rsidRDefault="00367D62">
      <w:pPr>
        <w:jc w:val="center"/>
        <w:rPr>
          <w:rFonts w:eastAsia="宋体" w:cs="宋体" w:hint="eastAsia"/>
          <w:b/>
          <w:sz w:val="24"/>
          <w:szCs w:val="24"/>
        </w:rPr>
      </w:pPr>
    </w:p>
    <w:p w:rsidR="00000000" w:rsidRDefault="00367D62">
      <w:pPr>
        <w:jc w:val="center"/>
        <w:rPr>
          <w:rFonts w:eastAsia="宋体" w:cs="宋体" w:hint="eastAsia"/>
          <w:sz w:val="24"/>
        </w:rPr>
      </w:pPr>
      <w:r>
        <w:rPr>
          <w:rFonts w:eastAsia="宋体" w:cs="宋体" w:hint="eastAsia"/>
          <w:sz w:val="24"/>
        </w:rPr>
        <w:t>公告送出日期：</w:t>
      </w:r>
      <w:r>
        <w:rPr>
          <w:rFonts w:eastAsia="宋体" w:cs="宋体" w:hint="eastAsia"/>
          <w:sz w:val="24"/>
        </w:rPr>
        <w:t>2024</w:t>
      </w:r>
      <w:r>
        <w:rPr>
          <w:rFonts w:eastAsia="宋体" w:cs="宋体" w:hint="eastAsia"/>
          <w:sz w:val="24"/>
        </w:rPr>
        <w:t>年</w:t>
      </w:r>
      <w:r>
        <w:rPr>
          <w:rFonts w:eastAsia="宋体" w:cs="宋体" w:hint="eastAsia"/>
          <w:sz w:val="24"/>
        </w:rPr>
        <w:t>4</w:t>
      </w:r>
      <w:r>
        <w:rPr>
          <w:rFonts w:eastAsia="宋体" w:cs="宋体" w:hint="eastAsia"/>
          <w:sz w:val="24"/>
        </w:rPr>
        <w:t>月</w:t>
      </w:r>
      <w:r>
        <w:rPr>
          <w:rFonts w:eastAsia="宋体" w:cs="宋体" w:hint="eastAsia"/>
          <w:sz w:val="24"/>
        </w:rPr>
        <w:t>1</w:t>
      </w:r>
      <w:r>
        <w:rPr>
          <w:rFonts w:eastAsia="宋体" w:cs="宋体" w:hint="eastAsia"/>
          <w:sz w:val="24"/>
        </w:rPr>
        <w:t>日</w:t>
      </w:r>
      <w:r>
        <w:rPr>
          <w:rFonts w:eastAsia="宋体" w:cs="宋体" w:hint="eastAsia"/>
          <w:sz w:val="24"/>
        </w:rPr>
        <w:t xml:space="preserve"> </w:t>
      </w:r>
    </w:p>
    <w:p w:rsidR="00000000" w:rsidRDefault="00367D62">
      <w:pPr>
        <w:pStyle w:val="2"/>
        <w:spacing w:line="240" w:lineRule="exact"/>
        <w:rPr>
          <w:rFonts w:ascii="Times New Roman" w:eastAsia="宋体" w:hAnsi="Times New Roman" w:cs="宋体" w:hint="eastAsia"/>
          <w:bCs w:val="0"/>
          <w:sz w:val="24"/>
          <w:szCs w:val="24"/>
        </w:rPr>
      </w:pPr>
      <w:bookmarkStart w:id="0" w:name="_Toc275961405"/>
      <w:r>
        <w:rPr>
          <w:rFonts w:ascii="Times New Roman" w:eastAsia="宋体" w:hAnsi="Times New Roman" w:cs="宋体" w:hint="eastAsia"/>
          <w:bCs w:val="0"/>
          <w:sz w:val="24"/>
          <w:szCs w:val="24"/>
        </w:rPr>
        <w:t xml:space="preserve">1 </w:t>
      </w:r>
      <w:r>
        <w:rPr>
          <w:rFonts w:ascii="Times New Roman" w:eastAsia="宋体" w:hAnsi="Times New Roman" w:cs="宋体" w:hint="eastAsia"/>
          <w:bCs w:val="0"/>
          <w:sz w:val="24"/>
          <w:szCs w:val="24"/>
        </w:rPr>
        <w:t>公告基本信息</w:t>
      </w:r>
      <w:bookmarkEnd w:id="0"/>
    </w:p>
    <w:tbl>
      <w:tblPr>
        <w:tblW w:w="850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2904"/>
        <w:gridCol w:w="1065"/>
        <w:gridCol w:w="1005"/>
        <w:gridCol w:w="993"/>
        <w:gridCol w:w="1053"/>
      </w:tblGrid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sz w:val="21"/>
                <w:szCs w:val="21"/>
                <w:highlight w:val="cyan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基金名称</w:t>
            </w:r>
          </w:p>
        </w:tc>
        <w:tc>
          <w:tcPr>
            <w:tcW w:w="4116" w:type="dxa"/>
            <w:gridSpan w:val="4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sz w:val="21"/>
                <w:szCs w:val="21"/>
                <w:highlight w:val="cyan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东吴增鑫宝货币市场基金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基金简称</w:t>
            </w:r>
          </w:p>
        </w:tc>
        <w:tc>
          <w:tcPr>
            <w:tcW w:w="4116" w:type="dxa"/>
            <w:gridSpan w:val="4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货币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基金主代码</w:t>
            </w:r>
          </w:p>
        </w:tc>
        <w:tc>
          <w:tcPr>
            <w:tcW w:w="4116" w:type="dxa"/>
            <w:gridSpan w:val="4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003588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基金管理人名称</w:t>
            </w:r>
          </w:p>
        </w:tc>
        <w:tc>
          <w:tcPr>
            <w:tcW w:w="4116" w:type="dxa"/>
            <w:gridSpan w:val="4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东吴基金管理有限公司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  <w:vAlign w:val="center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公告依据</w:t>
            </w:r>
          </w:p>
        </w:tc>
        <w:tc>
          <w:tcPr>
            <w:tcW w:w="4116" w:type="dxa"/>
            <w:gridSpan w:val="4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《国务院办公厅关于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年部分节假日安排的通知》（国办发明电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[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2023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]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7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号）及沪深证券交易所休市安排。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-2024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6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日为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节假日休市，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7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日为周末休市，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8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（星期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一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）起照常开市。</w:t>
            </w:r>
          </w:p>
        </w:tc>
      </w:tr>
      <w:tr w:rsidR="00000000">
        <w:trPr>
          <w:trHeight w:val="360"/>
          <w:jc w:val="center"/>
        </w:trPr>
        <w:tc>
          <w:tcPr>
            <w:tcW w:w="1486" w:type="dxa"/>
            <w:vMerge w:val="restart"/>
            <w:vAlign w:val="center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暂停相关业务的起始日、金额及原因说明</w:t>
            </w:r>
          </w:p>
        </w:tc>
        <w:tc>
          <w:tcPr>
            <w:tcW w:w="2904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暂停（大额）申购起始日</w:t>
            </w:r>
          </w:p>
        </w:tc>
        <w:tc>
          <w:tcPr>
            <w:tcW w:w="4116" w:type="dxa"/>
            <w:gridSpan w:val="4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暂停（大额）转换转入起始日</w:t>
            </w:r>
          </w:p>
        </w:tc>
        <w:tc>
          <w:tcPr>
            <w:tcW w:w="4116" w:type="dxa"/>
            <w:gridSpan w:val="4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暂停赎回起始日</w:t>
            </w:r>
          </w:p>
        </w:tc>
        <w:tc>
          <w:tcPr>
            <w:tcW w:w="4116" w:type="dxa"/>
            <w:gridSpan w:val="4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--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暂停转换转出起始日</w:t>
            </w:r>
          </w:p>
        </w:tc>
        <w:tc>
          <w:tcPr>
            <w:tcW w:w="4116" w:type="dxa"/>
            <w:gridSpan w:val="4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--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暂停定期定额投资起始日</w:t>
            </w:r>
          </w:p>
        </w:tc>
        <w:tc>
          <w:tcPr>
            <w:tcW w:w="4116" w:type="dxa"/>
            <w:gridSpan w:val="4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--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限制申购金额（单位：元）</w:t>
            </w:r>
          </w:p>
        </w:tc>
        <w:tc>
          <w:tcPr>
            <w:tcW w:w="4116" w:type="dxa"/>
            <w:gridSpan w:val="4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限制转换转入金额（单位：元）</w:t>
            </w:r>
          </w:p>
        </w:tc>
        <w:tc>
          <w:tcPr>
            <w:tcW w:w="4116" w:type="dxa"/>
            <w:gridSpan w:val="4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</w:tr>
      <w:tr w:rsidR="00000000">
        <w:trPr>
          <w:trHeight w:val="1409"/>
          <w:jc w:val="center"/>
        </w:trPr>
        <w:tc>
          <w:tcPr>
            <w:tcW w:w="1486" w:type="dxa"/>
            <w:vMerge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  <w:vAlign w:val="center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暂停（大额）申购、（大额）转换转入的原因说明</w:t>
            </w:r>
          </w:p>
        </w:tc>
        <w:tc>
          <w:tcPr>
            <w:tcW w:w="4116" w:type="dxa"/>
            <w:gridSpan w:val="4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为保护现有基金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份额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持有人的利益，根据《</w:t>
            </w:r>
            <w:r>
              <w:rPr>
                <w:rFonts w:eastAsia="宋体" w:cs="宋体" w:hint="eastAsia"/>
                <w:sz w:val="21"/>
                <w:szCs w:val="21"/>
              </w:rPr>
              <w:t>东吴增鑫宝货币市场基金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基金合同》《东吴增鑫宝货币市场基金更新的招募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说明书》的有关规定。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下属基金的基金简称</w:t>
            </w:r>
          </w:p>
        </w:tc>
        <w:tc>
          <w:tcPr>
            <w:tcW w:w="1065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A</w:t>
            </w:r>
          </w:p>
        </w:tc>
        <w:tc>
          <w:tcPr>
            <w:tcW w:w="1005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B</w:t>
            </w:r>
          </w:p>
        </w:tc>
        <w:tc>
          <w:tcPr>
            <w:tcW w:w="993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C</w:t>
            </w:r>
          </w:p>
        </w:tc>
        <w:tc>
          <w:tcPr>
            <w:tcW w:w="1053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D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下属基金的交易代码</w:t>
            </w:r>
          </w:p>
        </w:tc>
        <w:tc>
          <w:tcPr>
            <w:tcW w:w="1065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003588</w:t>
            </w:r>
          </w:p>
        </w:tc>
        <w:tc>
          <w:tcPr>
            <w:tcW w:w="1005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003589</w:t>
            </w:r>
          </w:p>
        </w:tc>
        <w:tc>
          <w:tcPr>
            <w:tcW w:w="993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019771</w:t>
            </w:r>
          </w:p>
        </w:tc>
        <w:tc>
          <w:tcPr>
            <w:tcW w:w="1053" w:type="dxa"/>
          </w:tcPr>
          <w:p w:rsidR="00000000" w:rsidRDefault="00367D62">
            <w:pPr>
              <w:spacing w:line="400" w:lineRule="exact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020240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该基金是否暂停（大额）申购、（大额）转换转入</w:t>
            </w:r>
          </w:p>
        </w:tc>
        <w:tc>
          <w:tcPr>
            <w:tcW w:w="1065" w:type="dxa"/>
            <w:vAlign w:val="center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1005" w:type="dxa"/>
            <w:vAlign w:val="center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993" w:type="dxa"/>
            <w:vAlign w:val="center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1053" w:type="dxa"/>
            <w:vAlign w:val="center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是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lastRenderedPageBreak/>
              <w:t>下属基金的限制申购金额（单位：元）</w:t>
            </w:r>
          </w:p>
        </w:tc>
        <w:tc>
          <w:tcPr>
            <w:tcW w:w="1065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1005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993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1053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下属基金的限制转换转入金额（单位：元）</w:t>
            </w:r>
          </w:p>
        </w:tc>
        <w:tc>
          <w:tcPr>
            <w:tcW w:w="1065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1005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993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1053" w:type="dxa"/>
          </w:tcPr>
          <w:p w:rsidR="00000000" w:rsidRDefault="00367D62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</w:tr>
    </w:tbl>
    <w:p w:rsidR="00000000" w:rsidRDefault="00367D62">
      <w:pPr>
        <w:pStyle w:val="2"/>
        <w:spacing w:line="400" w:lineRule="exact"/>
        <w:rPr>
          <w:rFonts w:ascii="Times New Roman" w:eastAsia="宋体" w:hAnsi="Times New Roman" w:cs="宋体" w:hint="eastAsia"/>
          <w:bCs w:val="0"/>
          <w:sz w:val="24"/>
          <w:szCs w:val="24"/>
        </w:rPr>
      </w:pPr>
      <w:bookmarkStart w:id="1" w:name="_Toc275961406"/>
      <w:r>
        <w:rPr>
          <w:rFonts w:ascii="Times New Roman" w:eastAsia="宋体" w:hAnsi="Times New Roman" w:cs="宋体" w:hint="eastAsia"/>
          <w:bCs w:val="0"/>
          <w:sz w:val="24"/>
          <w:szCs w:val="24"/>
        </w:rPr>
        <w:t xml:space="preserve">2 </w:t>
      </w:r>
      <w:r>
        <w:rPr>
          <w:rFonts w:ascii="Times New Roman" w:eastAsia="宋体" w:hAnsi="Times New Roman" w:cs="宋体" w:hint="eastAsia"/>
          <w:bCs w:val="0"/>
          <w:sz w:val="24"/>
          <w:szCs w:val="24"/>
        </w:rPr>
        <w:t>其他需</w:t>
      </w:r>
      <w:r>
        <w:rPr>
          <w:rFonts w:ascii="Times New Roman" w:eastAsia="宋体" w:hAnsi="Times New Roman" w:cs="宋体" w:hint="eastAsia"/>
          <w:bCs w:val="0"/>
          <w:sz w:val="24"/>
          <w:szCs w:val="24"/>
        </w:rPr>
        <w:t>要提示的事项</w:t>
      </w:r>
      <w:bookmarkEnd w:id="1"/>
    </w:p>
    <w:p w:rsidR="00000000" w:rsidRDefault="00367D62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东吴增鑫宝货币市场基金（以下简称：本基金）已于</w:t>
      </w:r>
      <w:r>
        <w:rPr>
          <w:rFonts w:eastAsia="宋体" w:cs="宋体" w:hint="eastAsia"/>
          <w:kern w:val="0"/>
          <w:sz w:val="21"/>
          <w:szCs w:val="21"/>
        </w:rPr>
        <w:t>2022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7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1</w:t>
      </w:r>
      <w:r>
        <w:rPr>
          <w:rFonts w:eastAsia="宋体" w:cs="宋体" w:hint="eastAsia"/>
          <w:kern w:val="0"/>
          <w:sz w:val="21"/>
          <w:szCs w:val="21"/>
        </w:rPr>
        <w:t>日发布公告，</w:t>
      </w:r>
      <w:r>
        <w:rPr>
          <w:rFonts w:eastAsia="宋体" w:cs="宋体" w:hint="eastAsia"/>
          <w:kern w:val="0"/>
          <w:sz w:val="21"/>
          <w:szCs w:val="21"/>
        </w:rPr>
        <w:t>自</w:t>
      </w:r>
      <w:r>
        <w:rPr>
          <w:rFonts w:eastAsia="宋体" w:cs="宋体" w:hint="eastAsia"/>
          <w:kern w:val="0"/>
          <w:sz w:val="21"/>
          <w:szCs w:val="21"/>
        </w:rPr>
        <w:t>2022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7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4</w:t>
      </w:r>
      <w:r>
        <w:rPr>
          <w:rFonts w:eastAsia="宋体" w:cs="宋体" w:hint="eastAsia"/>
          <w:kern w:val="0"/>
          <w:sz w:val="21"/>
          <w:szCs w:val="21"/>
        </w:rPr>
        <w:t>日起暂停</w:t>
      </w:r>
      <w:r>
        <w:rPr>
          <w:rFonts w:eastAsia="宋体" w:cs="宋体" w:hint="eastAsia"/>
          <w:kern w:val="0"/>
          <w:sz w:val="21"/>
          <w:szCs w:val="21"/>
        </w:rPr>
        <w:t>3000</w:t>
      </w:r>
      <w:r>
        <w:rPr>
          <w:rFonts w:eastAsia="宋体" w:cs="宋体" w:hint="eastAsia"/>
          <w:kern w:val="0"/>
          <w:sz w:val="21"/>
          <w:szCs w:val="21"/>
        </w:rPr>
        <w:t>万元以上的申购（含定期定额）、转换转入业务。为保护现有基金</w:t>
      </w:r>
      <w:r>
        <w:rPr>
          <w:rFonts w:eastAsia="宋体" w:cs="宋体" w:hint="eastAsia"/>
          <w:kern w:val="0"/>
          <w:sz w:val="21"/>
          <w:szCs w:val="21"/>
        </w:rPr>
        <w:t>份额</w:t>
      </w:r>
      <w:r>
        <w:rPr>
          <w:rFonts w:eastAsia="宋体" w:cs="宋体" w:hint="eastAsia"/>
          <w:kern w:val="0"/>
          <w:sz w:val="21"/>
          <w:szCs w:val="21"/>
        </w:rPr>
        <w:t>持有人利益，</w:t>
      </w:r>
      <w:r>
        <w:rPr>
          <w:rFonts w:eastAsia="宋体" w:cs="宋体" w:hint="eastAsia"/>
          <w:kern w:val="0"/>
          <w:sz w:val="21"/>
          <w:szCs w:val="21"/>
        </w:rPr>
        <w:t>东吴基金管理有限公司</w:t>
      </w:r>
      <w:r>
        <w:rPr>
          <w:rFonts w:eastAsia="宋体" w:cs="宋体" w:hint="eastAsia"/>
          <w:kern w:val="0"/>
          <w:sz w:val="21"/>
          <w:szCs w:val="21"/>
        </w:rPr>
        <w:t>（以下简称：本基金管理人）将自</w:t>
      </w:r>
      <w:r>
        <w:rPr>
          <w:rFonts w:eastAsia="宋体" w:cs="宋体" w:hint="eastAsia"/>
          <w:kern w:val="0"/>
          <w:sz w:val="21"/>
          <w:szCs w:val="21"/>
        </w:rPr>
        <w:t>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4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2</w:t>
      </w:r>
      <w:r>
        <w:rPr>
          <w:rFonts w:eastAsia="宋体" w:cs="宋体" w:hint="eastAsia"/>
          <w:kern w:val="0"/>
          <w:sz w:val="21"/>
          <w:szCs w:val="21"/>
        </w:rPr>
        <w:t>日起对部分代销（浙江同花顺基金销售有限公司除外）相关业务限额进行调整，具体为：在暂停本基金的大额申购（含定期定额）、大额转换转入业务期间，单个基金账户对单只基金日累计申购和转入金额不得超过</w:t>
      </w:r>
      <w:r>
        <w:rPr>
          <w:rFonts w:eastAsia="宋体" w:cs="宋体" w:hint="eastAsia"/>
          <w:kern w:val="0"/>
          <w:sz w:val="21"/>
          <w:szCs w:val="21"/>
        </w:rPr>
        <w:t>50</w:t>
      </w:r>
      <w:r>
        <w:rPr>
          <w:rFonts w:eastAsia="宋体" w:cs="宋体" w:hint="eastAsia"/>
          <w:kern w:val="0"/>
          <w:sz w:val="21"/>
          <w:szCs w:val="21"/>
        </w:rPr>
        <w:t>万元。如单日单个基金账户累计申购和转入金额超过</w:t>
      </w:r>
      <w:r>
        <w:rPr>
          <w:rFonts w:eastAsia="宋体" w:cs="宋体" w:hint="eastAsia"/>
          <w:kern w:val="0"/>
          <w:sz w:val="21"/>
          <w:szCs w:val="21"/>
        </w:rPr>
        <w:t>50</w:t>
      </w:r>
      <w:r>
        <w:rPr>
          <w:rFonts w:eastAsia="宋体" w:cs="宋体" w:hint="eastAsia"/>
          <w:kern w:val="0"/>
          <w:sz w:val="21"/>
          <w:szCs w:val="21"/>
        </w:rPr>
        <w:t>万元的</w:t>
      </w:r>
      <w:r>
        <w:rPr>
          <w:rFonts w:eastAsia="宋体" w:cs="宋体" w:hint="eastAsia"/>
          <w:kern w:val="0"/>
          <w:sz w:val="21"/>
          <w:szCs w:val="21"/>
        </w:rPr>
        <w:t>，</w:t>
      </w:r>
      <w:r>
        <w:rPr>
          <w:rFonts w:eastAsia="宋体" w:cs="宋体" w:hint="eastAsia"/>
          <w:kern w:val="0"/>
          <w:sz w:val="21"/>
          <w:szCs w:val="21"/>
        </w:rPr>
        <w:t>超出部分本基金管理人将有权予以拒绝，但</w:t>
      </w:r>
      <w:r>
        <w:rPr>
          <w:rFonts w:eastAsia="宋体" w:cs="宋体" w:hint="eastAsia"/>
          <w:kern w:val="0"/>
          <w:sz w:val="21"/>
          <w:szCs w:val="21"/>
        </w:rPr>
        <w:t>本基金管理人</w:t>
      </w:r>
      <w:r>
        <w:rPr>
          <w:rFonts w:eastAsia="宋体" w:cs="宋体" w:hint="eastAsia"/>
          <w:kern w:val="0"/>
          <w:sz w:val="21"/>
          <w:szCs w:val="21"/>
        </w:rPr>
        <w:t>认为相关申请不会影响基金平稳运作的除外。</w:t>
      </w:r>
    </w:p>
    <w:p w:rsidR="00000000" w:rsidRDefault="00367D62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投资者通过浙江同花顺基金销售有限公司办理本基金申购（含定期定额）、转换转入业务的，单个基金账户对单只基金日累计申购和转入金额不得超过</w:t>
      </w:r>
      <w:r>
        <w:rPr>
          <w:rFonts w:eastAsia="宋体" w:cs="宋体" w:hint="eastAsia"/>
          <w:kern w:val="0"/>
          <w:sz w:val="21"/>
          <w:szCs w:val="21"/>
        </w:rPr>
        <w:t>300</w:t>
      </w:r>
      <w:r>
        <w:rPr>
          <w:rFonts w:eastAsia="宋体" w:cs="宋体" w:hint="eastAsia"/>
          <w:kern w:val="0"/>
          <w:sz w:val="21"/>
          <w:szCs w:val="21"/>
        </w:rPr>
        <w:t>万元。如单日单个基金账户累计申购和转入金额超过</w:t>
      </w:r>
      <w:r>
        <w:rPr>
          <w:rFonts w:eastAsia="宋体" w:cs="宋体" w:hint="eastAsia"/>
          <w:kern w:val="0"/>
          <w:sz w:val="21"/>
          <w:szCs w:val="21"/>
        </w:rPr>
        <w:t>300</w:t>
      </w:r>
      <w:r>
        <w:rPr>
          <w:rFonts w:eastAsia="宋体" w:cs="宋体" w:hint="eastAsia"/>
          <w:kern w:val="0"/>
          <w:sz w:val="21"/>
          <w:szCs w:val="21"/>
        </w:rPr>
        <w:t>万元的</w:t>
      </w:r>
      <w:r>
        <w:rPr>
          <w:rFonts w:eastAsia="宋体" w:cs="宋体" w:hint="eastAsia"/>
          <w:kern w:val="0"/>
          <w:sz w:val="21"/>
          <w:szCs w:val="21"/>
        </w:rPr>
        <w:t>，本基金管理人将有权予以拒绝，但</w:t>
      </w:r>
      <w:r>
        <w:rPr>
          <w:rFonts w:eastAsia="宋体" w:cs="宋体" w:hint="eastAsia"/>
          <w:kern w:val="0"/>
          <w:sz w:val="21"/>
          <w:szCs w:val="21"/>
        </w:rPr>
        <w:t>本基金管理人</w:t>
      </w:r>
      <w:r>
        <w:rPr>
          <w:rFonts w:eastAsia="宋体" w:cs="宋体" w:hint="eastAsia"/>
          <w:kern w:val="0"/>
          <w:sz w:val="21"/>
          <w:szCs w:val="21"/>
        </w:rPr>
        <w:t>认为相关申请不会影响基金平稳运作的除外。</w:t>
      </w:r>
    </w:p>
    <w:p w:rsidR="00000000" w:rsidRDefault="00367D62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根据《东吴增鑫宝货币市场基金基金合同》的规定，投资者于</w:t>
      </w:r>
      <w:r>
        <w:rPr>
          <w:rFonts w:eastAsia="宋体" w:cs="宋体" w:hint="eastAsia"/>
          <w:kern w:val="0"/>
          <w:sz w:val="21"/>
          <w:szCs w:val="21"/>
        </w:rPr>
        <w:t>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4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3</w:t>
      </w:r>
      <w:r>
        <w:rPr>
          <w:rFonts w:eastAsia="宋体" w:cs="宋体" w:hint="eastAsia"/>
          <w:kern w:val="0"/>
          <w:sz w:val="21"/>
          <w:szCs w:val="21"/>
        </w:rPr>
        <w:t>日</w:t>
      </w:r>
      <w:r>
        <w:rPr>
          <w:rFonts w:eastAsia="宋体" w:cs="宋体" w:hint="eastAsia"/>
          <w:kern w:val="0"/>
          <w:sz w:val="21"/>
          <w:szCs w:val="21"/>
        </w:rPr>
        <w:t>赎回及转换转出本基金的份额仍享有该日和整个假期期间的收益，自</w:t>
      </w:r>
      <w:r>
        <w:rPr>
          <w:rFonts w:eastAsia="宋体" w:cs="宋体" w:hint="eastAsia"/>
          <w:kern w:val="0"/>
          <w:sz w:val="21"/>
          <w:szCs w:val="21"/>
        </w:rPr>
        <w:t>202</w:t>
      </w:r>
      <w:r>
        <w:rPr>
          <w:rFonts w:eastAsia="宋体" w:cs="宋体" w:hint="eastAsia"/>
          <w:kern w:val="0"/>
          <w:sz w:val="21"/>
          <w:szCs w:val="21"/>
        </w:rPr>
        <w:t>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4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8</w:t>
      </w:r>
      <w:r>
        <w:rPr>
          <w:rFonts w:eastAsia="宋体" w:cs="宋体" w:hint="eastAsia"/>
          <w:kern w:val="0"/>
          <w:sz w:val="21"/>
          <w:szCs w:val="21"/>
        </w:rPr>
        <w:t>日</w:t>
      </w:r>
      <w:r>
        <w:rPr>
          <w:rFonts w:eastAsia="宋体" w:cs="宋体" w:hint="eastAsia"/>
          <w:kern w:val="0"/>
          <w:sz w:val="21"/>
          <w:szCs w:val="21"/>
        </w:rPr>
        <w:t>起不再享有基金的分配权益。投资者于</w:t>
      </w:r>
      <w:r>
        <w:rPr>
          <w:rFonts w:eastAsia="宋体" w:cs="宋体" w:hint="eastAsia"/>
          <w:kern w:val="0"/>
          <w:sz w:val="21"/>
          <w:szCs w:val="21"/>
        </w:rPr>
        <w:t>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4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3</w:t>
      </w:r>
      <w:r>
        <w:rPr>
          <w:rFonts w:eastAsia="宋体" w:cs="宋体" w:hint="eastAsia"/>
          <w:kern w:val="0"/>
          <w:sz w:val="21"/>
          <w:szCs w:val="21"/>
        </w:rPr>
        <w:t>日</w:t>
      </w:r>
      <w:r>
        <w:rPr>
          <w:rFonts w:eastAsia="宋体" w:cs="宋体" w:hint="eastAsia"/>
          <w:kern w:val="0"/>
          <w:sz w:val="21"/>
          <w:szCs w:val="21"/>
        </w:rPr>
        <w:t>申请申购的本基金份额将于</w:t>
      </w:r>
      <w:r>
        <w:rPr>
          <w:rFonts w:eastAsia="宋体" w:cs="宋体" w:hint="eastAsia"/>
          <w:kern w:val="0"/>
          <w:sz w:val="21"/>
          <w:szCs w:val="21"/>
        </w:rPr>
        <w:t>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4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8</w:t>
      </w:r>
      <w:r>
        <w:rPr>
          <w:rFonts w:eastAsia="宋体" w:cs="宋体" w:hint="eastAsia"/>
          <w:kern w:val="0"/>
          <w:sz w:val="21"/>
          <w:szCs w:val="21"/>
        </w:rPr>
        <w:t>日</w:t>
      </w:r>
      <w:r>
        <w:rPr>
          <w:rFonts w:eastAsia="宋体" w:cs="宋体" w:hint="eastAsia"/>
          <w:kern w:val="0"/>
          <w:sz w:val="21"/>
          <w:szCs w:val="21"/>
        </w:rPr>
        <w:t>起享有本基金的分配权益。</w:t>
      </w:r>
    </w:p>
    <w:p w:rsidR="00000000" w:rsidRDefault="00367D62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本基金暂停上述相关业务期间，本基金的</w:t>
      </w:r>
      <w:r>
        <w:rPr>
          <w:rFonts w:eastAsia="宋体" w:cs="宋体" w:hint="eastAsia"/>
          <w:kern w:val="0"/>
          <w:sz w:val="21"/>
          <w:szCs w:val="21"/>
        </w:rPr>
        <w:t>赎回及转换转出</w:t>
      </w:r>
      <w:r>
        <w:rPr>
          <w:rFonts w:eastAsia="宋体" w:cs="宋体" w:hint="eastAsia"/>
          <w:kern w:val="0"/>
          <w:sz w:val="21"/>
          <w:szCs w:val="21"/>
        </w:rPr>
        <w:t>等其他业务仍照常办理</w:t>
      </w:r>
      <w:r>
        <w:rPr>
          <w:rFonts w:eastAsia="宋体" w:cs="宋体" w:hint="eastAsia"/>
          <w:kern w:val="0"/>
          <w:sz w:val="21"/>
          <w:szCs w:val="21"/>
        </w:rPr>
        <w:t>。</w:t>
      </w:r>
    </w:p>
    <w:p w:rsidR="00000000" w:rsidRDefault="00367D62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假期前及假期期间，未经确认的交易申请、未到账的赎回款项等，将顺延到假期结束后进行处理</w:t>
      </w:r>
      <w:r>
        <w:rPr>
          <w:rFonts w:eastAsia="宋体" w:cs="宋体" w:hint="eastAsia"/>
          <w:kern w:val="0"/>
          <w:sz w:val="21"/>
          <w:szCs w:val="21"/>
        </w:rPr>
        <w:t>。</w:t>
      </w:r>
    </w:p>
    <w:p w:rsidR="00000000" w:rsidRDefault="00367D62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若投资者于假期前或假期间需要使用资金，请充分考虑资金到账所需时间，提前做好交易安排，避免因交易跨越假期而带来不便</w:t>
      </w:r>
      <w:r>
        <w:rPr>
          <w:rFonts w:eastAsia="宋体" w:cs="宋体" w:hint="eastAsia"/>
          <w:kern w:val="0"/>
          <w:sz w:val="21"/>
          <w:szCs w:val="21"/>
        </w:rPr>
        <w:t>。</w:t>
      </w:r>
    </w:p>
    <w:p w:rsidR="00000000" w:rsidRDefault="00367D62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自</w:t>
      </w:r>
      <w:r>
        <w:rPr>
          <w:rFonts w:eastAsia="宋体" w:cs="宋体" w:hint="eastAsia"/>
          <w:kern w:val="0"/>
          <w:sz w:val="21"/>
          <w:szCs w:val="21"/>
        </w:rPr>
        <w:t>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4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8</w:t>
      </w:r>
      <w:r>
        <w:rPr>
          <w:rFonts w:eastAsia="宋体" w:cs="宋体" w:hint="eastAsia"/>
          <w:kern w:val="0"/>
          <w:sz w:val="21"/>
          <w:szCs w:val="21"/>
        </w:rPr>
        <w:t>日</w:t>
      </w:r>
      <w:r>
        <w:rPr>
          <w:rFonts w:eastAsia="宋体" w:cs="宋体" w:hint="eastAsia"/>
          <w:kern w:val="0"/>
          <w:sz w:val="21"/>
          <w:szCs w:val="21"/>
        </w:rPr>
        <w:t>起本基金</w:t>
      </w:r>
      <w:r>
        <w:rPr>
          <w:rFonts w:eastAsia="宋体" w:cs="宋体" w:hint="eastAsia"/>
          <w:kern w:val="0"/>
          <w:sz w:val="21"/>
          <w:szCs w:val="21"/>
        </w:rPr>
        <w:t>暂停</w:t>
      </w:r>
      <w:r>
        <w:rPr>
          <w:rFonts w:eastAsia="宋体" w:cs="宋体" w:hint="eastAsia"/>
          <w:kern w:val="0"/>
          <w:sz w:val="21"/>
          <w:szCs w:val="21"/>
        </w:rPr>
        <w:t>大额申购</w:t>
      </w:r>
      <w:r>
        <w:rPr>
          <w:rFonts w:eastAsia="宋体" w:cs="宋体" w:hint="eastAsia"/>
          <w:kern w:val="0"/>
          <w:sz w:val="21"/>
          <w:szCs w:val="21"/>
        </w:rPr>
        <w:t>（含定期定额）、</w:t>
      </w:r>
      <w:r>
        <w:rPr>
          <w:rFonts w:eastAsia="宋体" w:cs="宋体" w:hint="eastAsia"/>
          <w:kern w:val="0"/>
          <w:sz w:val="21"/>
          <w:szCs w:val="21"/>
        </w:rPr>
        <w:t>大额转换转入</w:t>
      </w:r>
      <w:r>
        <w:rPr>
          <w:rFonts w:eastAsia="宋体" w:cs="宋体" w:hint="eastAsia"/>
          <w:kern w:val="0"/>
          <w:sz w:val="21"/>
          <w:szCs w:val="21"/>
        </w:rPr>
        <w:t>业务的限额全部恢复为</w:t>
      </w:r>
      <w:r>
        <w:rPr>
          <w:rFonts w:eastAsia="宋体" w:cs="宋体" w:hint="eastAsia"/>
          <w:kern w:val="0"/>
          <w:sz w:val="21"/>
          <w:szCs w:val="21"/>
        </w:rPr>
        <w:t>3000</w:t>
      </w:r>
      <w:r>
        <w:rPr>
          <w:rFonts w:eastAsia="宋体" w:cs="宋体" w:hint="eastAsia"/>
          <w:kern w:val="0"/>
          <w:sz w:val="21"/>
          <w:szCs w:val="21"/>
        </w:rPr>
        <w:t>万元</w:t>
      </w:r>
      <w:r>
        <w:rPr>
          <w:rFonts w:eastAsia="宋体" w:cs="宋体" w:hint="eastAsia"/>
          <w:kern w:val="0"/>
          <w:sz w:val="21"/>
          <w:szCs w:val="21"/>
        </w:rPr>
        <w:t>，</w:t>
      </w:r>
      <w:r>
        <w:rPr>
          <w:rFonts w:eastAsia="宋体" w:cs="宋体" w:hint="eastAsia"/>
          <w:kern w:val="0"/>
          <w:sz w:val="21"/>
          <w:szCs w:val="21"/>
        </w:rPr>
        <w:t>即：</w:t>
      </w:r>
      <w:r>
        <w:rPr>
          <w:rFonts w:eastAsia="宋体" w:cs="宋体" w:hint="eastAsia"/>
          <w:kern w:val="0"/>
          <w:sz w:val="21"/>
          <w:szCs w:val="21"/>
        </w:rPr>
        <w:t>在暂停本基金的大额申购（含定期定额）、大额转换转入业务期间，单个基金账户对单只基金日累计申购和转入金额不得超过</w:t>
      </w:r>
      <w:r>
        <w:rPr>
          <w:rFonts w:eastAsia="宋体" w:cs="宋体" w:hint="eastAsia"/>
          <w:kern w:val="0"/>
          <w:sz w:val="21"/>
          <w:szCs w:val="21"/>
        </w:rPr>
        <w:t>3000</w:t>
      </w:r>
      <w:r>
        <w:rPr>
          <w:rFonts w:eastAsia="宋体" w:cs="宋体" w:hint="eastAsia"/>
          <w:kern w:val="0"/>
          <w:sz w:val="21"/>
          <w:szCs w:val="21"/>
        </w:rPr>
        <w:t>万元。如单日单</w:t>
      </w:r>
      <w:r>
        <w:rPr>
          <w:rFonts w:eastAsia="宋体" w:cs="宋体" w:hint="eastAsia"/>
          <w:kern w:val="0"/>
          <w:sz w:val="21"/>
          <w:szCs w:val="21"/>
        </w:rPr>
        <w:lastRenderedPageBreak/>
        <w:t>个基金账户累计申购和转入金额超过</w:t>
      </w:r>
      <w:r>
        <w:rPr>
          <w:rFonts w:eastAsia="宋体" w:cs="宋体" w:hint="eastAsia"/>
          <w:kern w:val="0"/>
          <w:sz w:val="21"/>
          <w:szCs w:val="21"/>
        </w:rPr>
        <w:t>3000</w:t>
      </w:r>
      <w:r>
        <w:rPr>
          <w:rFonts w:eastAsia="宋体" w:cs="宋体" w:hint="eastAsia"/>
          <w:kern w:val="0"/>
          <w:sz w:val="21"/>
          <w:szCs w:val="21"/>
        </w:rPr>
        <w:t>万元的，超出部分本基金管理人将有权予以拒绝，但</w:t>
      </w:r>
      <w:r>
        <w:rPr>
          <w:rFonts w:eastAsia="宋体" w:cs="宋体" w:hint="eastAsia"/>
          <w:kern w:val="0"/>
          <w:sz w:val="21"/>
          <w:szCs w:val="21"/>
        </w:rPr>
        <w:t>本基金管理人</w:t>
      </w:r>
      <w:r>
        <w:rPr>
          <w:rFonts w:eastAsia="宋体" w:cs="宋体" w:hint="eastAsia"/>
          <w:kern w:val="0"/>
          <w:sz w:val="21"/>
          <w:szCs w:val="21"/>
        </w:rPr>
        <w:t>认为相关申请不会影响基金平稳运作的除外。</w:t>
      </w:r>
      <w:r>
        <w:rPr>
          <w:rFonts w:eastAsia="宋体" w:cs="宋体" w:hint="eastAsia"/>
          <w:kern w:val="0"/>
          <w:sz w:val="21"/>
          <w:szCs w:val="21"/>
        </w:rPr>
        <w:t>届时</w:t>
      </w:r>
      <w:r>
        <w:rPr>
          <w:rFonts w:eastAsia="宋体" w:cs="宋体" w:hint="eastAsia"/>
          <w:kern w:val="0"/>
          <w:sz w:val="21"/>
          <w:szCs w:val="21"/>
        </w:rPr>
        <w:t>本基金管理人</w:t>
      </w:r>
      <w:r>
        <w:rPr>
          <w:rFonts w:eastAsia="宋体" w:cs="宋体" w:hint="eastAsia"/>
          <w:kern w:val="0"/>
          <w:sz w:val="21"/>
          <w:szCs w:val="21"/>
        </w:rPr>
        <w:t>将不再另行公告</w:t>
      </w:r>
      <w:r>
        <w:rPr>
          <w:rFonts w:eastAsia="宋体" w:cs="宋体" w:hint="eastAsia"/>
          <w:kern w:val="0"/>
          <w:sz w:val="21"/>
          <w:szCs w:val="21"/>
        </w:rPr>
        <w:t>。</w:t>
      </w:r>
    </w:p>
    <w:p w:rsidR="00000000" w:rsidRDefault="00367D62">
      <w:pPr>
        <w:spacing w:line="360" w:lineRule="auto"/>
        <w:ind w:firstLineChars="200" w:firstLine="420"/>
        <w:rPr>
          <w:rFonts w:eastAsia="宋体" w:cs="宋体" w:hint="eastAsia"/>
          <w:kern w:val="0"/>
          <w:sz w:val="21"/>
          <w:szCs w:val="21"/>
        </w:rPr>
      </w:pPr>
    </w:p>
    <w:p w:rsidR="00000000" w:rsidRDefault="00367D62">
      <w:pPr>
        <w:spacing w:line="360" w:lineRule="auto"/>
        <w:ind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本公司承诺依照诚实信用、勤勉尽责的原则管理和运用基金资产，但不保证基金一定盈利，也不保证最低收益。投资有风险，决策需谨慎</w:t>
      </w:r>
      <w:r>
        <w:rPr>
          <w:rFonts w:eastAsia="宋体" w:cs="宋体" w:hint="eastAsia"/>
          <w:kern w:val="0"/>
          <w:sz w:val="21"/>
          <w:szCs w:val="21"/>
        </w:rPr>
        <w:t>。</w:t>
      </w:r>
    </w:p>
    <w:p w:rsidR="00000000" w:rsidRDefault="00367D62">
      <w:pPr>
        <w:spacing w:line="360" w:lineRule="auto"/>
        <w:ind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如有疑问，请拨打本公司客户服务热线：</w:t>
      </w:r>
      <w:r>
        <w:rPr>
          <w:rFonts w:eastAsia="宋体" w:cs="宋体" w:hint="eastAsia"/>
          <w:kern w:val="0"/>
          <w:sz w:val="21"/>
          <w:szCs w:val="21"/>
        </w:rPr>
        <w:t>400-821-0588</w:t>
      </w:r>
      <w:r>
        <w:rPr>
          <w:rFonts w:eastAsia="宋体" w:cs="宋体" w:hint="eastAsia"/>
          <w:kern w:val="0"/>
          <w:sz w:val="21"/>
          <w:szCs w:val="21"/>
        </w:rPr>
        <w:t>，或</w:t>
      </w:r>
      <w:r>
        <w:rPr>
          <w:rFonts w:eastAsia="宋体" w:cs="宋体" w:hint="eastAsia"/>
          <w:kern w:val="0"/>
          <w:sz w:val="21"/>
          <w:szCs w:val="21"/>
        </w:rPr>
        <w:t>登录</w:t>
      </w:r>
      <w:r>
        <w:rPr>
          <w:rFonts w:eastAsia="宋体" w:cs="宋体" w:hint="eastAsia"/>
          <w:kern w:val="0"/>
          <w:sz w:val="21"/>
          <w:szCs w:val="21"/>
        </w:rPr>
        <w:t>本公司网站</w:t>
      </w:r>
      <w:r>
        <w:rPr>
          <w:rFonts w:eastAsia="宋体" w:cs="宋体" w:hint="eastAsia"/>
          <w:kern w:val="0"/>
          <w:sz w:val="21"/>
          <w:szCs w:val="21"/>
        </w:rPr>
        <w:t>www.scfund.com.cn</w:t>
      </w:r>
      <w:r>
        <w:rPr>
          <w:rFonts w:eastAsia="宋体" w:cs="宋体" w:hint="eastAsia"/>
          <w:kern w:val="0"/>
          <w:sz w:val="21"/>
          <w:szCs w:val="21"/>
        </w:rPr>
        <w:t>获取相关信息。</w:t>
      </w:r>
    </w:p>
    <w:p w:rsidR="00000000" w:rsidRDefault="00367D62">
      <w:pPr>
        <w:spacing w:line="360" w:lineRule="auto"/>
        <w:rPr>
          <w:rFonts w:eastAsia="宋体" w:cs="宋体" w:hint="eastAsia"/>
          <w:kern w:val="0"/>
          <w:sz w:val="21"/>
          <w:szCs w:val="21"/>
        </w:rPr>
      </w:pPr>
    </w:p>
    <w:p w:rsidR="00000000" w:rsidRDefault="00367D62">
      <w:pPr>
        <w:spacing w:line="360" w:lineRule="auto"/>
        <w:ind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特此公告。</w:t>
      </w:r>
    </w:p>
    <w:p w:rsidR="00000000" w:rsidRDefault="00367D62">
      <w:pPr>
        <w:spacing w:line="400" w:lineRule="exact"/>
        <w:rPr>
          <w:rFonts w:eastAsia="宋体" w:cs="宋体" w:hint="eastAsia"/>
          <w:kern w:val="0"/>
          <w:sz w:val="21"/>
          <w:szCs w:val="21"/>
        </w:rPr>
      </w:pPr>
    </w:p>
    <w:p w:rsidR="00000000" w:rsidRDefault="00367D62">
      <w:pPr>
        <w:spacing w:line="400" w:lineRule="exact"/>
        <w:jc w:val="center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 xml:space="preserve">                                                         </w:t>
      </w:r>
      <w:r>
        <w:rPr>
          <w:rFonts w:eastAsia="宋体" w:cs="宋体" w:hint="eastAsia"/>
          <w:kern w:val="0"/>
          <w:sz w:val="21"/>
          <w:szCs w:val="21"/>
        </w:rPr>
        <w:t>东吴基金管理有限公司</w:t>
      </w:r>
    </w:p>
    <w:p w:rsidR="00000000" w:rsidRDefault="00367D62">
      <w:pPr>
        <w:spacing w:line="400" w:lineRule="exact"/>
        <w:jc w:val="center"/>
      </w:pPr>
      <w:r>
        <w:rPr>
          <w:rFonts w:eastAsia="宋体" w:cs="宋体" w:hint="eastAsia"/>
          <w:kern w:val="0"/>
          <w:sz w:val="21"/>
          <w:szCs w:val="21"/>
        </w:rPr>
        <w:t xml:space="preserve">                                                        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4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1</w:t>
      </w:r>
      <w:r>
        <w:rPr>
          <w:rFonts w:eastAsia="宋体" w:cs="宋体" w:hint="eastAsia"/>
          <w:kern w:val="0"/>
          <w:sz w:val="21"/>
          <w:szCs w:val="21"/>
        </w:rPr>
        <w:t>日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EAF1D4"/>
    <w:multiLevelType w:val="singleLevel"/>
    <w:tmpl w:val="C5EAF1D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NhODdlMzhlODAzYzYyZGY0ZjhmMDc3ODIxZTJiMzQifQ=="/>
    <w:docVar w:name="KSO_WPS_MARK_KEY" w:val="4fd0aaa8-fd4d-4058-87a0-8929ae13480b"/>
  </w:docVars>
  <w:rsids>
    <w:rsidRoot w:val="009A5ADF"/>
    <w:rsid w:val="00012D89"/>
    <w:rsid w:val="00015134"/>
    <w:rsid w:val="00030509"/>
    <w:rsid w:val="00051BB5"/>
    <w:rsid w:val="00071F2A"/>
    <w:rsid w:val="00087C16"/>
    <w:rsid w:val="000A77F7"/>
    <w:rsid w:val="000C4372"/>
    <w:rsid w:val="000D6EFB"/>
    <w:rsid w:val="000F5641"/>
    <w:rsid w:val="00105890"/>
    <w:rsid w:val="00137DAF"/>
    <w:rsid w:val="00154BD2"/>
    <w:rsid w:val="00167B7D"/>
    <w:rsid w:val="00170637"/>
    <w:rsid w:val="00183A96"/>
    <w:rsid w:val="00190DA3"/>
    <w:rsid w:val="001934CC"/>
    <w:rsid w:val="00195605"/>
    <w:rsid w:val="00196F80"/>
    <w:rsid w:val="001970EA"/>
    <w:rsid w:val="001C4454"/>
    <w:rsid w:val="001D495F"/>
    <w:rsid w:val="001D5655"/>
    <w:rsid w:val="001D608B"/>
    <w:rsid w:val="001E438A"/>
    <w:rsid w:val="002331B4"/>
    <w:rsid w:val="002624E4"/>
    <w:rsid w:val="00266B79"/>
    <w:rsid w:val="0028625F"/>
    <w:rsid w:val="002C0D90"/>
    <w:rsid w:val="002C4FDF"/>
    <w:rsid w:val="002E6B78"/>
    <w:rsid w:val="0031482A"/>
    <w:rsid w:val="00316295"/>
    <w:rsid w:val="003300D4"/>
    <w:rsid w:val="00330474"/>
    <w:rsid w:val="00332E0B"/>
    <w:rsid w:val="003473E3"/>
    <w:rsid w:val="00350153"/>
    <w:rsid w:val="00367D62"/>
    <w:rsid w:val="0037356D"/>
    <w:rsid w:val="003769CC"/>
    <w:rsid w:val="003B0E5E"/>
    <w:rsid w:val="003B29DE"/>
    <w:rsid w:val="003C44B1"/>
    <w:rsid w:val="003D2EBA"/>
    <w:rsid w:val="003E6BE6"/>
    <w:rsid w:val="00416E36"/>
    <w:rsid w:val="0047416A"/>
    <w:rsid w:val="00474335"/>
    <w:rsid w:val="00487A34"/>
    <w:rsid w:val="00490775"/>
    <w:rsid w:val="00491EFC"/>
    <w:rsid w:val="004D7338"/>
    <w:rsid w:val="005048CF"/>
    <w:rsid w:val="00585C7B"/>
    <w:rsid w:val="0059648E"/>
    <w:rsid w:val="005C537E"/>
    <w:rsid w:val="005E1347"/>
    <w:rsid w:val="005E4C60"/>
    <w:rsid w:val="005F59BB"/>
    <w:rsid w:val="006565B6"/>
    <w:rsid w:val="00666D5C"/>
    <w:rsid w:val="00670662"/>
    <w:rsid w:val="0067431B"/>
    <w:rsid w:val="006751D9"/>
    <w:rsid w:val="00675F82"/>
    <w:rsid w:val="00677A67"/>
    <w:rsid w:val="006A25D1"/>
    <w:rsid w:val="006C3E8F"/>
    <w:rsid w:val="006F44BA"/>
    <w:rsid w:val="007111B4"/>
    <w:rsid w:val="00726F0D"/>
    <w:rsid w:val="00727A17"/>
    <w:rsid w:val="00730266"/>
    <w:rsid w:val="007A0AD4"/>
    <w:rsid w:val="007C07DD"/>
    <w:rsid w:val="007C5E8A"/>
    <w:rsid w:val="007D25F7"/>
    <w:rsid w:val="007D6D0E"/>
    <w:rsid w:val="007F217C"/>
    <w:rsid w:val="007F49B5"/>
    <w:rsid w:val="00811890"/>
    <w:rsid w:val="00831C60"/>
    <w:rsid w:val="008962D9"/>
    <w:rsid w:val="008A2325"/>
    <w:rsid w:val="008A331A"/>
    <w:rsid w:val="008C783C"/>
    <w:rsid w:val="008E51FE"/>
    <w:rsid w:val="00904C74"/>
    <w:rsid w:val="00930619"/>
    <w:rsid w:val="00931774"/>
    <w:rsid w:val="0093688E"/>
    <w:rsid w:val="0098264E"/>
    <w:rsid w:val="00986F5A"/>
    <w:rsid w:val="009A29DE"/>
    <w:rsid w:val="009A4A3D"/>
    <w:rsid w:val="009A5ADF"/>
    <w:rsid w:val="009B1C5B"/>
    <w:rsid w:val="00A0294B"/>
    <w:rsid w:val="00A473EE"/>
    <w:rsid w:val="00A47827"/>
    <w:rsid w:val="00A760CB"/>
    <w:rsid w:val="00A80024"/>
    <w:rsid w:val="00AA12F5"/>
    <w:rsid w:val="00AB0EFD"/>
    <w:rsid w:val="00AC10CD"/>
    <w:rsid w:val="00AF425C"/>
    <w:rsid w:val="00AF5A90"/>
    <w:rsid w:val="00AF74C9"/>
    <w:rsid w:val="00B05D6E"/>
    <w:rsid w:val="00B15D7B"/>
    <w:rsid w:val="00B56F72"/>
    <w:rsid w:val="00B77AF0"/>
    <w:rsid w:val="00B9537C"/>
    <w:rsid w:val="00BC471C"/>
    <w:rsid w:val="00BD3D33"/>
    <w:rsid w:val="00C50D48"/>
    <w:rsid w:val="00C847A1"/>
    <w:rsid w:val="00C90A2D"/>
    <w:rsid w:val="00CA0D4F"/>
    <w:rsid w:val="00CC685D"/>
    <w:rsid w:val="00CF7A4E"/>
    <w:rsid w:val="00D0791A"/>
    <w:rsid w:val="00D16584"/>
    <w:rsid w:val="00D21D19"/>
    <w:rsid w:val="00D32333"/>
    <w:rsid w:val="00D359B1"/>
    <w:rsid w:val="00D40563"/>
    <w:rsid w:val="00D41432"/>
    <w:rsid w:val="00D60C03"/>
    <w:rsid w:val="00D614CC"/>
    <w:rsid w:val="00D86378"/>
    <w:rsid w:val="00DA70DB"/>
    <w:rsid w:val="00DD0F38"/>
    <w:rsid w:val="00DD3F54"/>
    <w:rsid w:val="00DF2C55"/>
    <w:rsid w:val="00E0763E"/>
    <w:rsid w:val="00E16FE4"/>
    <w:rsid w:val="00E41647"/>
    <w:rsid w:val="00E93867"/>
    <w:rsid w:val="00EB0381"/>
    <w:rsid w:val="00ED0460"/>
    <w:rsid w:val="00ED5A92"/>
    <w:rsid w:val="00EF5285"/>
    <w:rsid w:val="00EF6956"/>
    <w:rsid w:val="00F5718E"/>
    <w:rsid w:val="00F6254C"/>
    <w:rsid w:val="00F7117C"/>
    <w:rsid w:val="00F83E71"/>
    <w:rsid w:val="00FB455F"/>
    <w:rsid w:val="00FC15D5"/>
    <w:rsid w:val="00FE2D2D"/>
    <w:rsid w:val="019043D3"/>
    <w:rsid w:val="02A93107"/>
    <w:rsid w:val="04A130DC"/>
    <w:rsid w:val="059576B4"/>
    <w:rsid w:val="05E46051"/>
    <w:rsid w:val="0646524E"/>
    <w:rsid w:val="07215F41"/>
    <w:rsid w:val="07403BFC"/>
    <w:rsid w:val="0780123F"/>
    <w:rsid w:val="0A5F2B10"/>
    <w:rsid w:val="0AB4001B"/>
    <w:rsid w:val="0AE3784E"/>
    <w:rsid w:val="0B0C3FF3"/>
    <w:rsid w:val="0B1F42CB"/>
    <w:rsid w:val="0B2A7D69"/>
    <w:rsid w:val="0B3011E3"/>
    <w:rsid w:val="0B49395D"/>
    <w:rsid w:val="0B4C2624"/>
    <w:rsid w:val="0BE826C2"/>
    <w:rsid w:val="0C2352EB"/>
    <w:rsid w:val="0DCB329C"/>
    <w:rsid w:val="0EA53794"/>
    <w:rsid w:val="0F5724B2"/>
    <w:rsid w:val="0F9F10E2"/>
    <w:rsid w:val="101504F3"/>
    <w:rsid w:val="106479F9"/>
    <w:rsid w:val="11015B72"/>
    <w:rsid w:val="12B217B3"/>
    <w:rsid w:val="12BE1A93"/>
    <w:rsid w:val="132B6CD5"/>
    <w:rsid w:val="13973D8C"/>
    <w:rsid w:val="13AE0E59"/>
    <w:rsid w:val="13DC4DC1"/>
    <w:rsid w:val="13FF0B47"/>
    <w:rsid w:val="14646579"/>
    <w:rsid w:val="147F19B5"/>
    <w:rsid w:val="14D62FD1"/>
    <w:rsid w:val="14E14516"/>
    <w:rsid w:val="150139FC"/>
    <w:rsid w:val="15F0378C"/>
    <w:rsid w:val="16411E05"/>
    <w:rsid w:val="16D231FD"/>
    <w:rsid w:val="17263809"/>
    <w:rsid w:val="17297EC6"/>
    <w:rsid w:val="172B014A"/>
    <w:rsid w:val="17873AF7"/>
    <w:rsid w:val="18734D70"/>
    <w:rsid w:val="19574E22"/>
    <w:rsid w:val="1AC13F76"/>
    <w:rsid w:val="1B94646D"/>
    <w:rsid w:val="1D011B5A"/>
    <w:rsid w:val="1D390476"/>
    <w:rsid w:val="1DA32391"/>
    <w:rsid w:val="1DB94325"/>
    <w:rsid w:val="1DBB2BD2"/>
    <w:rsid w:val="1E0E450A"/>
    <w:rsid w:val="1E13484C"/>
    <w:rsid w:val="1FD33088"/>
    <w:rsid w:val="204B5EE2"/>
    <w:rsid w:val="22444C52"/>
    <w:rsid w:val="230251E8"/>
    <w:rsid w:val="232A47FC"/>
    <w:rsid w:val="234E41A9"/>
    <w:rsid w:val="235C4ADE"/>
    <w:rsid w:val="235E06F1"/>
    <w:rsid w:val="23CB116F"/>
    <w:rsid w:val="23DD7990"/>
    <w:rsid w:val="23E3371A"/>
    <w:rsid w:val="24125E6E"/>
    <w:rsid w:val="2493582B"/>
    <w:rsid w:val="24B46350"/>
    <w:rsid w:val="24BC7206"/>
    <w:rsid w:val="24BE4DA7"/>
    <w:rsid w:val="24C12CFC"/>
    <w:rsid w:val="25700AFB"/>
    <w:rsid w:val="25797C7F"/>
    <w:rsid w:val="25D010C2"/>
    <w:rsid w:val="26025C52"/>
    <w:rsid w:val="266B7930"/>
    <w:rsid w:val="27912859"/>
    <w:rsid w:val="27FB4AD9"/>
    <w:rsid w:val="282A1A02"/>
    <w:rsid w:val="28E67403"/>
    <w:rsid w:val="290715F5"/>
    <w:rsid w:val="29910221"/>
    <w:rsid w:val="2A1721D4"/>
    <w:rsid w:val="2B2628F2"/>
    <w:rsid w:val="2B845B1A"/>
    <w:rsid w:val="2BEF6FF7"/>
    <w:rsid w:val="2C5A410A"/>
    <w:rsid w:val="2CBA7F83"/>
    <w:rsid w:val="2CC06EE8"/>
    <w:rsid w:val="2CF52B7C"/>
    <w:rsid w:val="2D6C7BF4"/>
    <w:rsid w:val="2DA372EF"/>
    <w:rsid w:val="2DDD3731"/>
    <w:rsid w:val="2EA91A0C"/>
    <w:rsid w:val="2EFA32F7"/>
    <w:rsid w:val="2F106BA7"/>
    <w:rsid w:val="2FD8189E"/>
    <w:rsid w:val="30A45AD9"/>
    <w:rsid w:val="310170FC"/>
    <w:rsid w:val="316139DB"/>
    <w:rsid w:val="316B58A2"/>
    <w:rsid w:val="31935957"/>
    <w:rsid w:val="31AA403A"/>
    <w:rsid w:val="31B27F47"/>
    <w:rsid w:val="31B54A1D"/>
    <w:rsid w:val="31B833C5"/>
    <w:rsid w:val="32931E4B"/>
    <w:rsid w:val="32DA34FB"/>
    <w:rsid w:val="32DD3D19"/>
    <w:rsid w:val="347F124C"/>
    <w:rsid w:val="34881634"/>
    <w:rsid w:val="34AD5C9A"/>
    <w:rsid w:val="34B25E9C"/>
    <w:rsid w:val="354554DE"/>
    <w:rsid w:val="3602257B"/>
    <w:rsid w:val="369D3BA6"/>
    <w:rsid w:val="36BC40FA"/>
    <w:rsid w:val="36DC3A78"/>
    <w:rsid w:val="37606074"/>
    <w:rsid w:val="377C6B1E"/>
    <w:rsid w:val="37E13E76"/>
    <w:rsid w:val="38002674"/>
    <w:rsid w:val="38213025"/>
    <w:rsid w:val="387C19B7"/>
    <w:rsid w:val="38B463A7"/>
    <w:rsid w:val="38CC1E2F"/>
    <w:rsid w:val="395F68AF"/>
    <w:rsid w:val="397E34DD"/>
    <w:rsid w:val="39DC7931"/>
    <w:rsid w:val="3A9A4A4B"/>
    <w:rsid w:val="3BCD4126"/>
    <w:rsid w:val="3C09460C"/>
    <w:rsid w:val="3CB0609F"/>
    <w:rsid w:val="3CE946E4"/>
    <w:rsid w:val="3D6F5598"/>
    <w:rsid w:val="3E3D77B9"/>
    <w:rsid w:val="3EDE12C8"/>
    <w:rsid w:val="3F1217F6"/>
    <w:rsid w:val="3F176BBD"/>
    <w:rsid w:val="3FD33F78"/>
    <w:rsid w:val="3FE346B0"/>
    <w:rsid w:val="400F2D8F"/>
    <w:rsid w:val="404D4F0A"/>
    <w:rsid w:val="40556B29"/>
    <w:rsid w:val="411A077B"/>
    <w:rsid w:val="4132498E"/>
    <w:rsid w:val="414C6EE7"/>
    <w:rsid w:val="415232F0"/>
    <w:rsid w:val="41A8572B"/>
    <w:rsid w:val="41ED17AB"/>
    <w:rsid w:val="42E4524A"/>
    <w:rsid w:val="431A7B41"/>
    <w:rsid w:val="433B57B2"/>
    <w:rsid w:val="43701992"/>
    <w:rsid w:val="43866F99"/>
    <w:rsid w:val="44103EB0"/>
    <w:rsid w:val="45126D36"/>
    <w:rsid w:val="4603646C"/>
    <w:rsid w:val="465E6D76"/>
    <w:rsid w:val="46847CBF"/>
    <w:rsid w:val="481F5423"/>
    <w:rsid w:val="485B78C5"/>
    <w:rsid w:val="498875C7"/>
    <w:rsid w:val="4A79676E"/>
    <w:rsid w:val="4AD320E5"/>
    <w:rsid w:val="4AE821DB"/>
    <w:rsid w:val="4AF9238C"/>
    <w:rsid w:val="4AFE5891"/>
    <w:rsid w:val="4B683F67"/>
    <w:rsid w:val="4C0C69D1"/>
    <w:rsid w:val="4C72580E"/>
    <w:rsid w:val="4C7E4716"/>
    <w:rsid w:val="4D93071F"/>
    <w:rsid w:val="4DF27697"/>
    <w:rsid w:val="4F2C18B2"/>
    <w:rsid w:val="4F765F9A"/>
    <w:rsid w:val="50263A32"/>
    <w:rsid w:val="505F6B68"/>
    <w:rsid w:val="509C305B"/>
    <w:rsid w:val="52781AFC"/>
    <w:rsid w:val="52DD5818"/>
    <w:rsid w:val="52E27EED"/>
    <w:rsid w:val="5313001A"/>
    <w:rsid w:val="53271B08"/>
    <w:rsid w:val="55113480"/>
    <w:rsid w:val="55B65904"/>
    <w:rsid w:val="55DD5482"/>
    <w:rsid w:val="567B4D6C"/>
    <w:rsid w:val="568C3FB7"/>
    <w:rsid w:val="56FC5EA6"/>
    <w:rsid w:val="57A46B7A"/>
    <w:rsid w:val="57AD3CDA"/>
    <w:rsid w:val="57D02159"/>
    <w:rsid w:val="57E24933"/>
    <w:rsid w:val="57EE28CF"/>
    <w:rsid w:val="582113A0"/>
    <w:rsid w:val="58FD0D31"/>
    <w:rsid w:val="59436C93"/>
    <w:rsid w:val="598E457A"/>
    <w:rsid w:val="59A30B3B"/>
    <w:rsid w:val="59C3464B"/>
    <w:rsid w:val="5A0A70B6"/>
    <w:rsid w:val="5A455B7F"/>
    <w:rsid w:val="5B80656B"/>
    <w:rsid w:val="5BAA4FC0"/>
    <w:rsid w:val="5CA23D47"/>
    <w:rsid w:val="5D0E3E30"/>
    <w:rsid w:val="5DC91B25"/>
    <w:rsid w:val="5E6D40F8"/>
    <w:rsid w:val="5FC353A5"/>
    <w:rsid w:val="5FC7260E"/>
    <w:rsid w:val="5FEB0978"/>
    <w:rsid w:val="60226551"/>
    <w:rsid w:val="61757F06"/>
    <w:rsid w:val="61C270BA"/>
    <w:rsid w:val="620671E2"/>
    <w:rsid w:val="62CA1661"/>
    <w:rsid w:val="64FA3AEB"/>
    <w:rsid w:val="65181279"/>
    <w:rsid w:val="653725CE"/>
    <w:rsid w:val="66E12BEC"/>
    <w:rsid w:val="67411C6C"/>
    <w:rsid w:val="6766030D"/>
    <w:rsid w:val="681945B4"/>
    <w:rsid w:val="68601D62"/>
    <w:rsid w:val="68D60F72"/>
    <w:rsid w:val="68DB0E24"/>
    <w:rsid w:val="693D3C62"/>
    <w:rsid w:val="6943658C"/>
    <w:rsid w:val="69D21F99"/>
    <w:rsid w:val="6AC02D0D"/>
    <w:rsid w:val="6B023DB6"/>
    <w:rsid w:val="6BEC481C"/>
    <w:rsid w:val="6CD96830"/>
    <w:rsid w:val="6DB274BD"/>
    <w:rsid w:val="6DE23A72"/>
    <w:rsid w:val="6E623C42"/>
    <w:rsid w:val="6E7825EC"/>
    <w:rsid w:val="6F7033C4"/>
    <w:rsid w:val="6F8B5369"/>
    <w:rsid w:val="6FD40685"/>
    <w:rsid w:val="708C069F"/>
    <w:rsid w:val="711A76C2"/>
    <w:rsid w:val="72BB21A7"/>
    <w:rsid w:val="72D91267"/>
    <w:rsid w:val="73B0394E"/>
    <w:rsid w:val="762C4611"/>
    <w:rsid w:val="76605C08"/>
    <w:rsid w:val="76C233D4"/>
    <w:rsid w:val="76CA1FA0"/>
    <w:rsid w:val="77AE358C"/>
    <w:rsid w:val="77B13103"/>
    <w:rsid w:val="783E11EF"/>
    <w:rsid w:val="79E338F7"/>
    <w:rsid w:val="7A3C4055"/>
    <w:rsid w:val="7A3F4A1F"/>
    <w:rsid w:val="7A550379"/>
    <w:rsid w:val="7AAD417F"/>
    <w:rsid w:val="7AF93BC6"/>
    <w:rsid w:val="7B7222CF"/>
    <w:rsid w:val="7B7E41CC"/>
    <w:rsid w:val="7BD833FE"/>
    <w:rsid w:val="7BF6069B"/>
    <w:rsid w:val="7C8E2102"/>
    <w:rsid w:val="7CE85FF3"/>
    <w:rsid w:val="7CFD74C6"/>
    <w:rsid w:val="7D3A09D1"/>
    <w:rsid w:val="7D3F637A"/>
    <w:rsid w:val="7DFC627C"/>
    <w:rsid w:val="7F051474"/>
    <w:rsid w:val="7F5646F6"/>
    <w:rsid w:val="7FC0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styleId="a3">
    <w:name w:val="annotation text"/>
    <w:basedOn w:val="a"/>
    <w:pPr>
      <w:jc w:val="left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Pr>
      <w:rFonts w:eastAsia="方正仿宋简体"/>
      <w:kern w:val="2"/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Pr>
      <w:rFonts w:eastAsia="方正仿宋简体"/>
      <w:kern w:val="2"/>
      <w:sz w:val="18"/>
      <w:szCs w:val="18"/>
    </w:rPr>
  </w:style>
  <w:style w:type="paragraph" w:styleId="a8">
    <w:name w:val="footnote text"/>
    <w:basedOn w:val="a"/>
    <w:pPr>
      <w:snapToGrid w:val="0"/>
      <w:jc w:val="left"/>
    </w:pPr>
    <w:rPr>
      <w:rFonts w:eastAsia="宋体"/>
      <w:sz w:val="18"/>
    </w:rPr>
  </w:style>
  <w:style w:type="paragraph" w:styleId="a9">
    <w:name w:val="Normal (Web)"/>
    <w:basedOn w:val="a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a">
    <w:name w:val="Hyperlink"/>
    <w:basedOn w:val="a0"/>
    <w:rPr>
      <w:strike w:val="0"/>
      <w:dstrike w:val="0"/>
      <w:color w:val="000000"/>
      <w:u w:val="none"/>
    </w:rPr>
  </w:style>
  <w:style w:type="character" w:styleId="ab">
    <w:name w:val="footnote reference"/>
    <w:basedOn w:val="a0"/>
    <w:rPr>
      <w:vertAlign w:val="superscript"/>
    </w:rPr>
  </w:style>
  <w:style w:type="paragraph" w:customStyle="1" w:styleId="CharCharCharCharCharChar1CharCharChar">
    <w:name w:val=" Char Char Char Char Char Char1 Char Char Char"/>
    <w:basedOn w:val="a"/>
    <w:pPr>
      <w:autoSpaceDE w:val="0"/>
      <w:autoSpaceDN w:val="0"/>
      <w:adjustRightInd w:val="0"/>
      <w:jc w:val="left"/>
      <w:textAlignment w:val="baseline"/>
    </w:pPr>
    <w:rPr>
      <w:rFonts w:ascii="宋体" w:eastAsia="宋体"/>
      <w:kern w:val="0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1667</Characters>
  <Application>Microsoft Office Word</Application>
  <DocSecurity>4</DocSecurity>
  <PresentationFormat/>
  <Lines>13</Lines>
  <Paragraphs>3</Paragraphs>
  <Slides>0</Slides>
  <Notes>0</Notes>
  <HiddenSlides>0</HiddenSlides>
  <MMClips>0</MMClips>
  <ScaleCrop>false</ScaleCrop>
  <Manager/>
  <Company>dw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东吴增鑫宝货币市场基金2024年清明假期前调整部分代销大额申购（含定期定额）、大额转换转入业务限额的公告</dc:title>
  <dc:subject/>
  <dc:creator>dw</dc:creator>
  <cp:keywords/>
  <dc:description/>
  <cp:lastModifiedBy>ZHONGM</cp:lastModifiedBy>
  <cp:revision>2</cp:revision>
  <cp:lastPrinted>2012-12-21T09:32:00Z</cp:lastPrinted>
  <dcterms:created xsi:type="dcterms:W3CDTF">2024-03-31T16:00:00Z</dcterms:created>
  <dcterms:modified xsi:type="dcterms:W3CDTF">2024-03-31T16:00:00Z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643A5B2C2392416C918ECFB952F27937_13</vt:lpwstr>
  </property>
  <property fmtid="{D5CDD505-2E9C-101B-9397-08002B2CF9AE}" pid="4" name="commondata">
    <vt:lpwstr>eyJoZGlkIjoiODNhODdlMzhlODAzYzYyZGY0ZjhmMDc3ODIxZTJiMzQifQ==</vt:lpwstr>
  </property>
</Properties>
</file>