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E2" w:rsidRPr="00B64A1E" w:rsidRDefault="002A53E6" w:rsidP="00EA10E2">
      <w:pPr>
        <w:pStyle w:val="font14"/>
        <w:jc w:val="center"/>
        <w:rPr>
          <w:rFonts w:ascii="Times New Roman" w:hAnsi="Times New Roman" w:cs="Times New Roman"/>
          <w:sz w:val="36"/>
          <w:szCs w:val="36"/>
        </w:rPr>
      </w:pPr>
      <w:r w:rsidRPr="00B64A1E">
        <w:rPr>
          <w:rStyle w:val="a3"/>
          <w:rFonts w:ascii="Times New Roman" w:hAnsi="Times New Roman" w:cs="Times New Roman"/>
          <w:sz w:val="36"/>
          <w:szCs w:val="36"/>
        </w:rPr>
        <w:t>易方达基金管理有限公司关于旗下部分基金获配</w:t>
      </w:r>
      <w:r w:rsidR="00F20762" w:rsidRPr="00B64A1E">
        <w:rPr>
          <w:rStyle w:val="a3"/>
          <w:rFonts w:ascii="Times New Roman" w:hAnsi="Times New Roman" w:cs="Times New Roman"/>
          <w:sz w:val="36"/>
          <w:szCs w:val="36"/>
        </w:rPr>
        <w:t>爱柯迪</w:t>
      </w:r>
      <w:r w:rsidR="005B7759" w:rsidRPr="00B64A1E">
        <w:rPr>
          <w:rStyle w:val="a3"/>
          <w:rFonts w:ascii="Times New Roman" w:hAnsi="Times New Roman" w:cs="Times New Roman"/>
          <w:sz w:val="36"/>
          <w:szCs w:val="36"/>
        </w:rPr>
        <w:t>（</w:t>
      </w:r>
      <w:r w:rsidR="00F20762" w:rsidRPr="00B64A1E">
        <w:rPr>
          <w:rStyle w:val="a3"/>
          <w:rFonts w:ascii="Times New Roman" w:hAnsi="Times New Roman" w:cs="Times New Roman"/>
          <w:sz w:val="36"/>
          <w:szCs w:val="36"/>
        </w:rPr>
        <w:t>600933</w:t>
      </w:r>
      <w:r w:rsidR="005B7759" w:rsidRPr="00B64A1E">
        <w:rPr>
          <w:rStyle w:val="a3"/>
          <w:rFonts w:ascii="Times New Roman" w:hAnsi="Times New Roman" w:cs="Times New Roman"/>
          <w:sz w:val="36"/>
          <w:szCs w:val="36"/>
        </w:rPr>
        <w:t>）</w:t>
      </w:r>
      <w:r w:rsidRPr="00B64A1E">
        <w:rPr>
          <w:rStyle w:val="a3"/>
          <w:rFonts w:ascii="Times New Roman" w:hAnsi="Times New Roman" w:cs="Times New Roman"/>
          <w:sz w:val="36"/>
          <w:szCs w:val="36"/>
        </w:rPr>
        <w:t>非公开发行</w:t>
      </w:r>
      <w:r w:rsidRPr="00B64A1E">
        <w:rPr>
          <w:rStyle w:val="a3"/>
          <w:rFonts w:ascii="Times New Roman" w:hAnsi="Times New Roman" w:cs="Times New Roman"/>
          <w:sz w:val="36"/>
          <w:szCs w:val="36"/>
        </w:rPr>
        <w:t>A</w:t>
      </w:r>
      <w:r w:rsidRPr="00B64A1E">
        <w:rPr>
          <w:rStyle w:val="a3"/>
          <w:rFonts w:ascii="Times New Roman" w:hAnsi="Times New Roman" w:cs="Times New Roman"/>
          <w:sz w:val="36"/>
          <w:szCs w:val="36"/>
        </w:rPr>
        <w:t>股的公告</w:t>
      </w:r>
    </w:p>
    <w:p w:rsidR="00740340" w:rsidRPr="00472218" w:rsidRDefault="002A53E6" w:rsidP="00575028">
      <w:pPr>
        <w:widowControl/>
        <w:spacing w:line="360" w:lineRule="auto"/>
        <w:ind w:firstLineChars="200" w:firstLine="480"/>
        <w:rPr>
          <w:kern w:val="0"/>
          <w:sz w:val="24"/>
        </w:rPr>
      </w:pPr>
      <w:r w:rsidRPr="00472218">
        <w:rPr>
          <w:kern w:val="0"/>
          <w:sz w:val="24"/>
        </w:rPr>
        <w:t>易方达基金管理有限公司</w:t>
      </w:r>
      <w:r w:rsidRPr="00472218">
        <w:rPr>
          <w:kern w:val="0"/>
          <w:sz w:val="24"/>
        </w:rPr>
        <w:t>(</w:t>
      </w:r>
      <w:r w:rsidRPr="00472218">
        <w:rPr>
          <w:kern w:val="0"/>
          <w:sz w:val="24"/>
        </w:rPr>
        <w:t>以下简称</w:t>
      </w:r>
      <w:r w:rsidRPr="00472218">
        <w:rPr>
          <w:kern w:val="0"/>
          <w:sz w:val="24"/>
        </w:rPr>
        <w:t>“</w:t>
      </w:r>
      <w:r w:rsidRPr="00472218">
        <w:rPr>
          <w:kern w:val="0"/>
          <w:sz w:val="24"/>
        </w:rPr>
        <w:t>本公司</w:t>
      </w:r>
      <w:r w:rsidRPr="00472218">
        <w:rPr>
          <w:kern w:val="0"/>
          <w:sz w:val="24"/>
        </w:rPr>
        <w:t>”)</w:t>
      </w:r>
      <w:r w:rsidRPr="00472218">
        <w:rPr>
          <w:kern w:val="0"/>
          <w:sz w:val="24"/>
        </w:rPr>
        <w:t>所管理的</w:t>
      </w:r>
      <w:r w:rsidR="00575028" w:rsidRPr="00472218">
        <w:rPr>
          <w:kern w:val="0"/>
          <w:sz w:val="24"/>
        </w:rPr>
        <w:t>部分</w:t>
      </w:r>
      <w:r w:rsidR="00377AFD" w:rsidRPr="00472218">
        <w:rPr>
          <w:kern w:val="0"/>
          <w:sz w:val="24"/>
        </w:rPr>
        <w:t>基金</w:t>
      </w:r>
      <w:r w:rsidRPr="00472218">
        <w:rPr>
          <w:kern w:val="0"/>
          <w:sz w:val="24"/>
        </w:rPr>
        <w:t>参加了</w:t>
      </w:r>
      <w:r w:rsidR="00F20762" w:rsidRPr="00472218">
        <w:rPr>
          <w:kern w:val="0"/>
          <w:sz w:val="24"/>
        </w:rPr>
        <w:t>爱柯迪股份有限公司</w:t>
      </w:r>
      <w:r w:rsidRPr="00472218">
        <w:rPr>
          <w:kern w:val="0"/>
          <w:sz w:val="24"/>
        </w:rPr>
        <w:t>非公开发行股票的认购。</w:t>
      </w:r>
    </w:p>
    <w:p w:rsidR="001104F8" w:rsidRPr="00472218" w:rsidRDefault="002A53E6" w:rsidP="00387016">
      <w:pPr>
        <w:widowControl/>
        <w:spacing w:after="240" w:line="360" w:lineRule="auto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根据中国证监会《公开募集证券投资基金信息披露管理办法》</w:t>
      </w:r>
      <w:r w:rsidR="00EA10E2" w:rsidRPr="00472218">
        <w:rPr>
          <w:kern w:val="0"/>
          <w:sz w:val="24"/>
        </w:rPr>
        <w:t>《关于基金投资非公开发行股票等流通受限证券有关问题的通知》等有关规定</w:t>
      </w:r>
      <w:r w:rsidR="00EA10E2" w:rsidRPr="00472218">
        <w:rPr>
          <w:kern w:val="0"/>
          <w:sz w:val="24"/>
        </w:rPr>
        <w:t>,</w:t>
      </w:r>
      <w:r w:rsidR="00EA10E2" w:rsidRPr="00472218">
        <w:rPr>
          <w:kern w:val="0"/>
          <w:sz w:val="24"/>
        </w:rPr>
        <w:t>本公司现将</w:t>
      </w:r>
      <w:r w:rsidR="00E80951" w:rsidRPr="00E80951">
        <w:rPr>
          <w:rFonts w:hint="eastAsia"/>
          <w:kern w:val="0"/>
          <w:sz w:val="24"/>
        </w:rPr>
        <w:t>旗下</w:t>
      </w:r>
      <w:r w:rsidR="00FC7DF3" w:rsidRPr="00472218">
        <w:rPr>
          <w:kern w:val="0"/>
          <w:sz w:val="24"/>
        </w:rPr>
        <w:t>基金</w:t>
      </w:r>
      <w:r w:rsidR="00EA10E2" w:rsidRPr="00472218">
        <w:rPr>
          <w:kern w:val="0"/>
          <w:sz w:val="24"/>
        </w:rPr>
        <w:t>获配</w:t>
      </w:r>
      <w:r w:rsidR="00F20762" w:rsidRPr="00472218">
        <w:rPr>
          <w:kern w:val="0"/>
          <w:sz w:val="24"/>
        </w:rPr>
        <w:t>爱柯迪股份有限公司</w:t>
      </w:r>
      <w:r w:rsidR="00EA10E2" w:rsidRPr="00472218">
        <w:rPr>
          <w:kern w:val="0"/>
          <w:sz w:val="24"/>
        </w:rPr>
        <w:t>非公开发行股票情况披露如下：</w:t>
      </w:r>
    </w:p>
    <w:tbl>
      <w:tblPr>
        <w:tblStyle w:val="a8"/>
        <w:tblW w:w="0" w:type="auto"/>
        <w:jc w:val="center"/>
        <w:tblLook w:val="04A0"/>
      </w:tblPr>
      <w:tblGrid>
        <w:gridCol w:w="2112"/>
        <w:gridCol w:w="1134"/>
        <w:gridCol w:w="1496"/>
        <w:gridCol w:w="858"/>
        <w:gridCol w:w="1424"/>
        <w:gridCol w:w="917"/>
        <w:gridCol w:w="581"/>
      </w:tblGrid>
      <w:tr w:rsidR="00482FC3" w:rsidTr="00387016">
        <w:trPr>
          <w:jc w:val="center"/>
        </w:trPr>
        <w:tc>
          <w:tcPr>
            <w:tcW w:w="992" w:type="dxa"/>
            <w:vAlign w:val="center"/>
          </w:tcPr>
          <w:p w:rsidR="00387016" w:rsidRPr="0054726D" w:rsidRDefault="002A53E6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241" w:type="dxa"/>
            <w:vAlign w:val="center"/>
          </w:tcPr>
          <w:p w:rsidR="00387016" w:rsidRPr="0054726D" w:rsidRDefault="002A53E6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获配数量（股）</w:t>
            </w:r>
          </w:p>
        </w:tc>
        <w:tc>
          <w:tcPr>
            <w:tcW w:w="1594" w:type="dxa"/>
            <w:vAlign w:val="center"/>
          </w:tcPr>
          <w:p w:rsidR="00387016" w:rsidRPr="0054726D" w:rsidRDefault="002A53E6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总成本（元）</w:t>
            </w:r>
          </w:p>
        </w:tc>
        <w:tc>
          <w:tcPr>
            <w:tcW w:w="993" w:type="dxa"/>
            <w:vAlign w:val="center"/>
          </w:tcPr>
          <w:p w:rsidR="00387016" w:rsidRPr="0054726D" w:rsidRDefault="002A53E6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总成本占基金资产净值比例</w:t>
            </w:r>
          </w:p>
        </w:tc>
        <w:tc>
          <w:tcPr>
            <w:tcW w:w="1417" w:type="dxa"/>
            <w:vAlign w:val="center"/>
          </w:tcPr>
          <w:p w:rsidR="00387016" w:rsidRPr="0054726D" w:rsidRDefault="002A53E6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账面价值（元）</w:t>
            </w:r>
          </w:p>
        </w:tc>
        <w:tc>
          <w:tcPr>
            <w:tcW w:w="1134" w:type="dxa"/>
            <w:vAlign w:val="center"/>
          </w:tcPr>
          <w:p w:rsidR="00387016" w:rsidRPr="0054726D" w:rsidRDefault="002A53E6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账面价值占基金资产净值比例</w:t>
            </w:r>
          </w:p>
        </w:tc>
        <w:tc>
          <w:tcPr>
            <w:tcW w:w="788" w:type="dxa"/>
            <w:vAlign w:val="center"/>
          </w:tcPr>
          <w:p w:rsidR="00387016" w:rsidRPr="0054726D" w:rsidRDefault="002A53E6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锁定期</w:t>
            </w:r>
          </w:p>
        </w:tc>
      </w:tr>
      <w:tr w:rsidR="00482FC3">
        <w:trPr>
          <w:jc w:val="center"/>
        </w:trPr>
        <w:tc>
          <w:tcPr>
            <w:tcW w:w="0" w:type="auto"/>
            <w:vAlign w:val="center"/>
          </w:tcPr>
          <w:p w:rsidR="008455A4" w:rsidRDefault="002A53E6">
            <w:pPr>
              <w:jc w:val="center"/>
            </w:pPr>
            <w:r>
              <w:rPr>
                <w:szCs w:val="21"/>
              </w:rPr>
              <w:t>易方达新丝路灵活配置混合型证券投资基金</w:t>
            </w:r>
          </w:p>
        </w:tc>
        <w:tc>
          <w:tcPr>
            <w:tcW w:w="0" w:type="auto"/>
            <w:vAlign w:val="center"/>
          </w:tcPr>
          <w:p w:rsidR="008455A4" w:rsidRDefault="002A53E6">
            <w:pPr>
              <w:jc w:val="center"/>
            </w:pPr>
            <w:r>
              <w:rPr>
                <w:szCs w:val="21"/>
              </w:rPr>
              <w:t>398,823</w:t>
            </w:r>
          </w:p>
        </w:tc>
        <w:tc>
          <w:tcPr>
            <w:tcW w:w="0" w:type="auto"/>
            <w:vAlign w:val="center"/>
          </w:tcPr>
          <w:p w:rsidR="008455A4" w:rsidRDefault="002A53E6">
            <w:pPr>
              <w:jc w:val="center"/>
            </w:pPr>
            <w:r>
              <w:rPr>
                <w:szCs w:val="21"/>
              </w:rPr>
              <w:t>7,210,719.84</w:t>
            </w:r>
          </w:p>
        </w:tc>
        <w:tc>
          <w:tcPr>
            <w:tcW w:w="0" w:type="auto"/>
            <w:vAlign w:val="center"/>
          </w:tcPr>
          <w:p w:rsidR="008455A4" w:rsidRDefault="002A53E6">
            <w:pPr>
              <w:jc w:val="center"/>
            </w:pPr>
            <w:r>
              <w:rPr>
                <w:szCs w:val="21"/>
              </w:rPr>
              <w:t>0.23%</w:t>
            </w:r>
          </w:p>
        </w:tc>
        <w:tc>
          <w:tcPr>
            <w:tcW w:w="0" w:type="auto"/>
            <w:vAlign w:val="center"/>
          </w:tcPr>
          <w:p w:rsidR="008455A4" w:rsidRDefault="002A53E6">
            <w:pPr>
              <w:jc w:val="center"/>
            </w:pPr>
            <w:r>
              <w:rPr>
                <w:szCs w:val="21"/>
              </w:rPr>
              <w:t>7,242,625.68</w:t>
            </w:r>
          </w:p>
        </w:tc>
        <w:tc>
          <w:tcPr>
            <w:tcW w:w="0" w:type="auto"/>
            <w:vAlign w:val="center"/>
          </w:tcPr>
          <w:p w:rsidR="008455A4" w:rsidRDefault="002A53E6">
            <w:pPr>
              <w:jc w:val="center"/>
            </w:pPr>
            <w:r>
              <w:rPr>
                <w:szCs w:val="21"/>
              </w:rPr>
              <w:t>0.23%</w:t>
            </w:r>
          </w:p>
        </w:tc>
        <w:tc>
          <w:tcPr>
            <w:tcW w:w="0" w:type="auto"/>
            <w:vAlign w:val="center"/>
          </w:tcPr>
          <w:p w:rsidR="008455A4" w:rsidRDefault="002A53E6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482FC3">
        <w:trPr>
          <w:jc w:val="center"/>
        </w:trPr>
        <w:tc>
          <w:tcPr>
            <w:tcW w:w="0" w:type="auto"/>
            <w:vAlign w:val="center"/>
          </w:tcPr>
          <w:p w:rsidR="008455A4" w:rsidRDefault="002A53E6">
            <w:pPr>
              <w:jc w:val="center"/>
            </w:pPr>
            <w:r>
              <w:rPr>
                <w:szCs w:val="21"/>
              </w:rPr>
              <w:t>易方达供给改革灵活配置混合型证券投资基金</w:t>
            </w:r>
          </w:p>
        </w:tc>
        <w:tc>
          <w:tcPr>
            <w:tcW w:w="0" w:type="auto"/>
            <w:vAlign w:val="center"/>
          </w:tcPr>
          <w:p w:rsidR="008455A4" w:rsidRDefault="002A53E6">
            <w:pPr>
              <w:jc w:val="center"/>
            </w:pPr>
            <w:r>
              <w:rPr>
                <w:szCs w:val="21"/>
              </w:rPr>
              <w:t>1,747,609</w:t>
            </w:r>
          </w:p>
        </w:tc>
        <w:tc>
          <w:tcPr>
            <w:tcW w:w="0" w:type="auto"/>
            <w:vAlign w:val="center"/>
          </w:tcPr>
          <w:p w:rsidR="008455A4" w:rsidRDefault="002A53E6">
            <w:pPr>
              <w:jc w:val="center"/>
            </w:pPr>
            <w:r>
              <w:rPr>
                <w:szCs w:val="21"/>
              </w:rPr>
              <w:t>31,596,770.72</w:t>
            </w:r>
          </w:p>
        </w:tc>
        <w:tc>
          <w:tcPr>
            <w:tcW w:w="0" w:type="auto"/>
            <w:vAlign w:val="center"/>
          </w:tcPr>
          <w:p w:rsidR="008455A4" w:rsidRDefault="002A53E6">
            <w:pPr>
              <w:jc w:val="center"/>
            </w:pPr>
            <w:r>
              <w:rPr>
                <w:szCs w:val="21"/>
              </w:rPr>
              <w:t>0.49%</w:t>
            </w:r>
          </w:p>
        </w:tc>
        <w:tc>
          <w:tcPr>
            <w:tcW w:w="0" w:type="auto"/>
            <w:vAlign w:val="center"/>
          </w:tcPr>
          <w:p w:rsidR="008455A4" w:rsidRDefault="002A53E6">
            <w:pPr>
              <w:jc w:val="center"/>
            </w:pPr>
            <w:r>
              <w:rPr>
                <w:szCs w:val="21"/>
              </w:rPr>
              <w:t>31,736,579.44</w:t>
            </w:r>
          </w:p>
        </w:tc>
        <w:tc>
          <w:tcPr>
            <w:tcW w:w="0" w:type="auto"/>
            <w:vAlign w:val="center"/>
          </w:tcPr>
          <w:p w:rsidR="008455A4" w:rsidRDefault="002A53E6">
            <w:pPr>
              <w:jc w:val="center"/>
            </w:pPr>
            <w:r>
              <w:rPr>
                <w:szCs w:val="21"/>
              </w:rPr>
              <w:t>0.49%</w:t>
            </w:r>
          </w:p>
        </w:tc>
        <w:tc>
          <w:tcPr>
            <w:tcW w:w="0" w:type="auto"/>
            <w:vAlign w:val="center"/>
          </w:tcPr>
          <w:p w:rsidR="008455A4" w:rsidRDefault="002A53E6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482FC3">
        <w:trPr>
          <w:jc w:val="center"/>
        </w:trPr>
        <w:tc>
          <w:tcPr>
            <w:tcW w:w="0" w:type="auto"/>
            <w:vAlign w:val="center"/>
          </w:tcPr>
          <w:p w:rsidR="008455A4" w:rsidRDefault="002A53E6">
            <w:pPr>
              <w:jc w:val="center"/>
            </w:pPr>
            <w:r>
              <w:rPr>
                <w:szCs w:val="21"/>
              </w:rPr>
              <w:t>易方达增强回报债券型证券投资基金</w:t>
            </w:r>
          </w:p>
        </w:tc>
        <w:tc>
          <w:tcPr>
            <w:tcW w:w="0" w:type="auto"/>
            <w:vAlign w:val="center"/>
          </w:tcPr>
          <w:p w:rsidR="008455A4" w:rsidRDefault="002A53E6">
            <w:pPr>
              <w:jc w:val="center"/>
            </w:pPr>
            <w:r>
              <w:rPr>
                <w:szCs w:val="21"/>
              </w:rPr>
              <w:t>233,054</w:t>
            </w:r>
          </w:p>
        </w:tc>
        <w:tc>
          <w:tcPr>
            <w:tcW w:w="0" w:type="auto"/>
            <w:vAlign w:val="center"/>
          </w:tcPr>
          <w:p w:rsidR="008455A4" w:rsidRDefault="002A53E6">
            <w:pPr>
              <w:jc w:val="center"/>
            </w:pPr>
            <w:r>
              <w:rPr>
                <w:szCs w:val="21"/>
              </w:rPr>
              <w:t>4,213,616.32</w:t>
            </w:r>
          </w:p>
        </w:tc>
        <w:tc>
          <w:tcPr>
            <w:tcW w:w="0" w:type="auto"/>
            <w:vAlign w:val="center"/>
          </w:tcPr>
          <w:p w:rsidR="008455A4" w:rsidRDefault="002A53E6">
            <w:pPr>
              <w:jc w:val="center"/>
            </w:pPr>
            <w:r>
              <w:rPr>
                <w:szCs w:val="21"/>
              </w:rPr>
              <w:t>0.02%</w:t>
            </w:r>
          </w:p>
        </w:tc>
        <w:tc>
          <w:tcPr>
            <w:tcW w:w="0" w:type="auto"/>
            <w:vAlign w:val="center"/>
          </w:tcPr>
          <w:p w:rsidR="008455A4" w:rsidRDefault="002A53E6">
            <w:pPr>
              <w:jc w:val="center"/>
            </w:pPr>
            <w:r>
              <w:rPr>
                <w:szCs w:val="21"/>
              </w:rPr>
              <w:t>4,232,260.64</w:t>
            </w:r>
          </w:p>
        </w:tc>
        <w:tc>
          <w:tcPr>
            <w:tcW w:w="0" w:type="auto"/>
            <w:vAlign w:val="center"/>
          </w:tcPr>
          <w:p w:rsidR="008455A4" w:rsidRDefault="002A53E6">
            <w:pPr>
              <w:jc w:val="center"/>
            </w:pPr>
            <w:r>
              <w:rPr>
                <w:szCs w:val="21"/>
              </w:rPr>
              <w:t>0.02%</w:t>
            </w:r>
          </w:p>
        </w:tc>
        <w:tc>
          <w:tcPr>
            <w:tcW w:w="0" w:type="auto"/>
            <w:vAlign w:val="center"/>
          </w:tcPr>
          <w:p w:rsidR="008455A4" w:rsidRDefault="002A53E6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482FC3">
        <w:trPr>
          <w:jc w:val="center"/>
        </w:trPr>
        <w:tc>
          <w:tcPr>
            <w:tcW w:w="0" w:type="auto"/>
            <w:vAlign w:val="center"/>
          </w:tcPr>
          <w:p w:rsidR="008455A4" w:rsidRDefault="002A53E6">
            <w:pPr>
              <w:jc w:val="center"/>
            </w:pPr>
            <w:r>
              <w:rPr>
                <w:szCs w:val="21"/>
              </w:rPr>
              <w:t>易方达岁丰添利债券型证券投资基金</w:t>
            </w:r>
          </w:p>
        </w:tc>
        <w:tc>
          <w:tcPr>
            <w:tcW w:w="0" w:type="auto"/>
            <w:vAlign w:val="center"/>
          </w:tcPr>
          <w:p w:rsidR="008455A4" w:rsidRDefault="002A53E6">
            <w:pPr>
              <w:jc w:val="center"/>
            </w:pPr>
            <w:r>
              <w:rPr>
                <w:szCs w:val="21"/>
              </w:rPr>
              <w:t>365,024</w:t>
            </w:r>
          </w:p>
        </w:tc>
        <w:tc>
          <w:tcPr>
            <w:tcW w:w="0" w:type="auto"/>
            <w:vAlign w:val="center"/>
          </w:tcPr>
          <w:p w:rsidR="008455A4" w:rsidRDefault="002A53E6">
            <w:pPr>
              <w:jc w:val="center"/>
            </w:pPr>
            <w:r>
              <w:rPr>
                <w:szCs w:val="21"/>
              </w:rPr>
              <w:t>6,599,633.92</w:t>
            </w:r>
          </w:p>
        </w:tc>
        <w:tc>
          <w:tcPr>
            <w:tcW w:w="0" w:type="auto"/>
            <w:vAlign w:val="center"/>
          </w:tcPr>
          <w:p w:rsidR="008455A4" w:rsidRDefault="002A53E6">
            <w:pPr>
              <w:jc w:val="center"/>
            </w:pPr>
            <w:r>
              <w:rPr>
                <w:szCs w:val="21"/>
              </w:rPr>
              <w:t>0.07%</w:t>
            </w:r>
          </w:p>
        </w:tc>
        <w:tc>
          <w:tcPr>
            <w:tcW w:w="0" w:type="auto"/>
            <w:vAlign w:val="center"/>
          </w:tcPr>
          <w:p w:rsidR="008455A4" w:rsidRDefault="002A53E6">
            <w:pPr>
              <w:jc w:val="center"/>
            </w:pPr>
            <w:r>
              <w:rPr>
                <w:szCs w:val="21"/>
              </w:rPr>
              <w:t>6,628,835.84</w:t>
            </w:r>
          </w:p>
        </w:tc>
        <w:tc>
          <w:tcPr>
            <w:tcW w:w="0" w:type="auto"/>
            <w:vAlign w:val="center"/>
          </w:tcPr>
          <w:p w:rsidR="008455A4" w:rsidRDefault="002A53E6">
            <w:pPr>
              <w:jc w:val="center"/>
            </w:pPr>
            <w:r>
              <w:rPr>
                <w:szCs w:val="21"/>
              </w:rPr>
              <w:t>0.07%</w:t>
            </w:r>
          </w:p>
        </w:tc>
        <w:tc>
          <w:tcPr>
            <w:tcW w:w="0" w:type="auto"/>
            <w:vAlign w:val="center"/>
          </w:tcPr>
          <w:p w:rsidR="008455A4" w:rsidRDefault="002A53E6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</w:tbl>
    <w:p w:rsidR="00387016" w:rsidRPr="00472218" w:rsidRDefault="00387016" w:rsidP="006905CB">
      <w:pPr>
        <w:spacing w:line="360" w:lineRule="auto"/>
        <w:rPr>
          <w:kern w:val="0"/>
          <w:sz w:val="24"/>
        </w:rPr>
      </w:pPr>
    </w:p>
    <w:p w:rsidR="006905CB" w:rsidRPr="00472218" w:rsidRDefault="002A53E6" w:rsidP="006905CB">
      <w:pPr>
        <w:spacing w:line="360" w:lineRule="auto"/>
        <w:rPr>
          <w:kern w:val="0"/>
          <w:sz w:val="24"/>
        </w:rPr>
      </w:pPr>
      <w:r w:rsidRPr="00472218">
        <w:rPr>
          <w:kern w:val="0"/>
          <w:sz w:val="24"/>
        </w:rPr>
        <w:t>注：基金资产净值、账面价值为</w:t>
      </w:r>
      <w:r w:rsidR="00F20762" w:rsidRPr="00472218">
        <w:rPr>
          <w:kern w:val="0"/>
          <w:sz w:val="24"/>
        </w:rPr>
        <w:t>2024</w:t>
      </w:r>
      <w:r w:rsidR="00F20762" w:rsidRPr="00472218">
        <w:rPr>
          <w:kern w:val="0"/>
          <w:sz w:val="24"/>
        </w:rPr>
        <w:t>年</w:t>
      </w:r>
      <w:r w:rsidR="00F20762" w:rsidRPr="00472218">
        <w:rPr>
          <w:kern w:val="0"/>
          <w:sz w:val="24"/>
        </w:rPr>
        <w:t>3</w:t>
      </w:r>
      <w:r w:rsidR="00F20762" w:rsidRPr="00472218">
        <w:rPr>
          <w:kern w:val="0"/>
          <w:sz w:val="24"/>
        </w:rPr>
        <w:t>月</w:t>
      </w:r>
      <w:r w:rsidR="00F20762" w:rsidRPr="00472218">
        <w:rPr>
          <w:kern w:val="0"/>
          <w:sz w:val="24"/>
        </w:rPr>
        <w:t>29</w:t>
      </w:r>
      <w:r w:rsidR="00F20762" w:rsidRPr="00472218">
        <w:rPr>
          <w:kern w:val="0"/>
          <w:sz w:val="24"/>
        </w:rPr>
        <w:t>日</w:t>
      </w:r>
      <w:r w:rsidRPr="00472218">
        <w:rPr>
          <w:kern w:val="0"/>
          <w:sz w:val="24"/>
        </w:rPr>
        <w:t>数据。</w:t>
      </w:r>
    </w:p>
    <w:p w:rsidR="006905CB" w:rsidRPr="00472218" w:rsidRDefault="002A53E6" w:rsidP="00E94FC4">
      <w:pPr>
        <w:spacing w:line="360" w:lineRule="auto"/>
        <w:ind w:firstLineChars="200" w:firstLine="480"/>
        <w:rPr>
          <w:kern w:val="0"/>
          <w:sz w:val="24"/>
        </w:rPr>
      </w:pPr>
      <w:r w:rsidRPr="00472218">
        <w:rPr>
          <w:kern w:val="0"/>
          <w:sz w:val="24"/>
        </w:rPr>
        <w:t>特此公告</w:t>
      </w:r>
      <w:r w:rsidR="003F4B29" w:rsidRPr="00472218">
        <w:rPr>
          <w:kern w:val="0"/>
          <w:sz w:val="24"/>
        </w:rPr>
        <w:t>。</w:t>
      </w:r>
    </w:p>
    <w:p w:rsidR="006905CB" w:rsidRPr="00472218" w:rsidRDefault="002A53E6" w:rsidP="006905CB">
      <w:pPr>
        <w:spacing w:line="360" w:lineRule="auto"/>
        <w:jc w:val="right"/>
        <w:rPr>
          <w:kern w:val="0"/>
          <w:sz w:val="24"/>
        </w:rPr>
      </w:pPr>
      <w:r w:rsidRPr="00472218">
        <w:rPr>
          <w:kern w:val="0"/>
          <w:sz w:val="24"/>
        </w:rPr>
        <w:t>易方达基金管理有限公司</w:t>
      </w:r>
    </w:p>
    <w:p w:rsidR="008068CA" w:rsidRPr="00472218" w:rsidRDefault="002A53E6" w:rsidP="006905CB">
      <w:pPr>
        <w:spacing w:line="360" w:lineRule="auto"/>
        <w:jc w:val="right"/>
        <w:rPr>
          <w:kern w:val="0"/>
          <w:sz w:val="24"/>
        </w:rPr>
      </w:pPr>
      <w:r w:rsidRPr="00472218">
        <w:rPr>
          <w:kern w:val="0"/>
          <w:sz w:val="24"/>
        </w:rPr>
        <w:t>2024</w:t>
      </w:r>
      <w:r w:rsidRPr="00472218">
        <w:rPr>
          <w:kern w:val="0"/>
          <w:sz w:val="24"/>
        </w:rPr>
        <w:t>年</w:t>
      </w:r>
      <w:r w:rsidRPr="00472218">
        <w:rPr>
          <w:kern w:val="0"/>
          <w:sz w:val="24"/>
        </w:rPr>
        <w:t>3</w:t>
      </w:r>
      <w:r w:rsidRPr="00472218">
        <w:rPr>
          <w:kern w:val="0"/>
          <w:sz w:val="24"/>
        </w:rPr>
        <w:t>月</w:t>
      </w:r>
      <w:r w:rsidRPr="00472218">
        <w:rPr>
          <w:kern w:val="0"/>
          <w:sz w:val="24"/>
        </w:rPr>
        <w:t>30</w:t>
      </w:r>
      <w:r w:rsidRPr="00472218">
        <w:rPr>
          <w:kern w:val="0"/>
          <w:sz w:val="24"/>
        </w:rPr>
        <w:t>日</w:t>
      </w:r>
      <w:bookmarkStart w:id="0" w:name="_GoBack"/>
      <w:bookmarkEnd w:id="0"/>
    </w:p>
    <w:sectPr w:rsidR="008068CA" w:rsidRPr="00472218" w:rsidSect="006E3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10E2"/>
    <w:rsid w:val="000068AC"/>
    <w:rsid w:val="00056A9D"/>
    <w:rsid w:val="00067C88"/>
    <w:rsid w:val="0007578E"/>
    <w:rsid w:val="00084730"/>
    <w:rsid w:val="00091454"/>
    <w:rsid w:val="00091C26"/>
    <w:rsid w:val="000D409F"/>
    <w:rsid w:val="000F4885"/>
    <w:rsid w:val="001104F8"/>
    <w:rsid w:val="00182DBA"/>
    <w:rsid w:val="00185879"/>
    <w:rsid w:val="00196752"/>
    <w:rsid w:val="001B1DBB"/>
    <w:rsid w:val="001C374B"/>
    <w:rsid w:val="001C412F"/>
    <w:rsid w:val="001E1CD2"/>
    <w:rsid w:val="00225369"/>
    <w:rsid w:val="00277148"/>
    <w:rsid w:val="00294F51"/>
    <w:rsid w:val="00296B13"/>
    <w:rsid w:val="002A53E6"/>
    <w:rsid w:val="00301B9A"/>
    <w:rsid w:val="00303C8C"/>
    <w:rsid w:val="0033061C"/>
    <w:rsid w:val="00340B3A"/>
    <w:rsid w:val="003535FC"/>
    <w:rsid w:val="00377AFD"/>
    <w:rsid w:val="00387016"/>
    <w:rsid w:val="003B10DF"/>
    <w:rsid w:val="003B1232"/>
    <w:rsid w:val="003C1E98"/>
    <w:rsid w:val="003E178A"/>
    <w:rsid w:val="003F4B29"/>
    <w:rsid w:val="00426619"/>
    <w:rsid w:val="00437EFE"/>
    <w:rsid w:val="004536F8"/>
    <w:rsid w:val="00457BBE"/>
    <w:rsid w:val="0046432B"/>
    <w:rsid w:val="00465A81"/>
    <w:rsid w:val="00472218"/>
    <w:rsid w:val="0047707C"/>
    <w:rsid w:val="00482FC3"/>
    <w:rsid w:val="004864EF"/>
    <w:rsid w:val="00491539"/>
    <w:rsid w:val="004A37D9"/>
    <w:rsid w:val="004A6FD4"/>
    <w:rsid w:val="004A748B"/>
    <w:rsid w:val="004E00DA"/>
    <w:rsid w:val="005104D0"/>
    <w:rsid w:val="00514C2A"/>
    <w:rsid w:val="005173AF"/>
    <w:rsid w:val="0054079D"/>
    <w:rsid w:val="005410D0"/>
    <w:rsid w:val="0054155A"/>
    <w:rsid w:val="00545916"/>
    <w:rsid w:val="0054726D"/>
    <w:rsid w:val="00557020"/>
    <w:rsid w:val="0056424C"/>
    <w:rsid w:val="00565313"/>
    <w:rsid w:val="00575028"/>
    <w:rsid w:val="00594EC0"/>
    <w:rsid w:val="00597646"/>
    <w:rsid w:val="005B7759"/>
    <w:rsid w:val="005D6EFF"/>
    <w:rsid w:val="005F5B86"/>
    <w:rsid w:val="006162D1"/>
    <w:rsid w:val="0066427C"/>
    <w:rsid w:val="0067264D"/>
    <w:rsid w:val="006742D8"/>
    <w:rsid w:val="006904DC"/>
    <w:rsid w:val="006905CB"/>
    <w:rsid w:val="00694AB9"/>
    <w:rsid w:val="006A6F40"/>
    <w:rsid w:val="006B20BE"/>
    <w:rsid w:val="006B73C3"/>
    <w:rsid w:val="006E31C5"/>
    <w:rsid w:val="006E3C8F"/>
    <w:rsid w:val="00701BA4"/>
    <w:rsid w:val="00713551"/>
    <w:rsid w:val="00740340"/>
    <w:rsid w:val="00767737"/>
    <w:rsid w:val="007A0408"/>
    <w:rsid w:val="007C2F1F"/>
    <w:rsid w:val="008068CA"/>
    <w:rsid w:val="00824F39"/>
    <w:rsid w:val="008455A4"/>
    <w:rsid w:val="008700B0"/>
    <w:rsid w:val="00875A99"/>
    <w:rsid w:val="00881EB9"/>
    <w:rsid w:val="0088426E"/>
    <w:rsid w:val="008905B4"/>
    <w:rsid w:val="008E3175"/>
    <w:rsid w:val="00943EEF"/>
    <w:rsid w:val="00945A25"/>
    <w:rsid w:val="00953744"/>
    <w:rsid w:val="009744BE"/>
    <w:rsid w:val="00990035"/>
    <w:rsid w:val="009A0A35"/>
    <w:rsid w:val="009A4875"/>
    <w:rsid w:val="009B4906"/>
    <w:rsid w:val="009C0D0E"/>
    <w:rsid w:val="009F70AA"/>
    <w:rsid w:val="009F7B3D"/>
    <w:rsid w:val="00A023DA"/>
    <w:rsid w:val="00A76FCB"/>
    <w:rsid w:val="00A9101C"/>
    <w:rsid w:val="00AD2F78"/>
    <w:rsid w:val="00AE5C3D"/>
    <w:rsid w:val="00B06905"/>
    <w:rsid w:val="00B27AC1"/>
    <w:rsid w:val="00B37206"/>
    <w:rsid w:val="00B57F57"/>
    <w:rsid w:val="00B64A1E"/>
    <w:rsid w:val="00B67FB7"/>
    <w:rsid w:val="00BA15AC"/>
    <w:rsid w:val="00BA3220"/>
    <w:rsid w:val="00BA3E0A"/>
    <w:rsid w:val="00BB54B0"/>
    <w:rsid w:val="00BC5A9F"/>
    <w:rsid w:val="00BC5B73"/>
    <w:rsid w:val="00BD22BB"/>
    <w:rsid w:val="00BD58A6"/>
    <w:rsid w:val="00BD7CE6"/>
    <w:rsid w:val="00BE0613"/>
    <w:rsid w:val="00BE6C39"/>
    <w:rsid w:val="00BE7D30"/>
    <w:rsid w:val="00BF7639"/>
    <w:rsid w:val="00C010A4"/>
    <w:rsid w:val="00C16B5A"/>
    <w:rsid w:val="00C16E41"/>
    <w:rsid w:val="00C16E87"/>
    <w:rsid w:val="00C342E5"/>
    <w:rsid w:val="00C51485"/>
    <w:rsid w:val="00C53F2C"/>
    <w:rsid w:val="00C73256"/>
    <w:rsid w:val="00C74CAB"/>
    <w:rsid w:val="00C76D21"/>
    <w:rsid w:val="00C95E32"/>
    <w:rsid w:val="00CA7C64"/>
    <w:rsid w:val="00D66832"/>
    <w:rsid w:val="00D753C1"/>
    <w:rsid w:val="00D82CEE"/>
    <w:rsid w:val="00D86EEB"/>
    <w:rsid w:val="00D87EB7"/>
    <w:rsid w:val="00D9314C"/>
    <w:rsid w:val="00DA0710"/>
    <w:rsid w:val="00DB4A42"/>
    <w:rsid w:val="00DD04AC"/>
    <w:rsid w:val="00DE18A7"/>
    <w:rsid w:val="00E04841"/>
    <w:rsid w:val="00E0716B"/>
    <w:rsid w:val="00E11A5D"/>
    <w:rsid w:val="00E2716D"/>
    <w:rsid w:val="00E37F29"/>
    <w:rsid w:val="00E41585"/>
    <w:rsid w:val="00E46D9A"/>
    <w:rsid w:val="00E62CE3"/>
    <w:rsid w:val="00E72B6A"/>
    <w:rsid w:val="00E80951"/>
    <w:rsid w:val="00E94FC4"/>
    <w:rsid w:val="00EA10E2"/>
    <w:rsid w:val="00EB2D11"/>
    <w:rsid w:val="00EB5883"/>
    <w:rsid w:val="00EC223E"/>
    <w:rsid w:val="00EE4CF2"/>
    <w:rsid w:val="00EF34D7"/>
    <w:rsid w:val="00F11F77"/>
    <w:rsid w:val="00F20762"/>
    <w:rsid w:val="00F22B55"/>
    <w:rsid w:val="00F54A05"/>
    <w:rsid w:val="00F72C67"/>
    <w:rsid w:val="00FA2042"/>
    <w:rsid w:val="00FC2449"/>
    <w:rsid w:val="00FC7DF3"/>
    <w:rsid w:val="00FF2B45"/>
    <w:rsid w:val="00FF37E9"/>
    <w:rsid w:val="00FF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14">
    <w:name w:val="font14"/>
    <w:basedOn w:val="a"/>
    <w:rsid w:val="00EA10E2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Cs w:val="21"/>
    </w:rPr>
  </w:style>
  <w:style w:type="character" w:styleId="a3">
    <w:name w:val="Strong"/>
    <w:qFormat/>
    <w:rsid w:val="00EA10E2"/>
    <w:rPr>
      <w:b/>
      <w:bCs/>
    </w:rPr>
  </w:style>
  <w:style w:type="character" w:styleId="HTML">
    <w:name w:val="HTML Typewriter"/>
    <w:rsid w:val="00EA10E2"/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semiHidden/>
    <w:rsid w:val="00EA10E2"/>
    <w:rPr>
      <w:sz w:val="18"/>
      <w:szCs w:val="18"/>
    </w:rPr>
  </w:style>
  <w:style w:type="paragraph" w:styleId="a5">
    <w:name w:val="header"/>
    <w:basedOn w:val="a"/>
    <w:link w:val="Char"/>
    <w:rsid w:val="004A6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4A6FD4"/>
    <w:rPr>
      <w:kern w:val="2"/>
      <w:sz w:val="18"/>
      <w:szCs w:val="18"/>
    </w:rPr>
  </w:style>
  <w:style w:type="paragraph" w:styleId="a6">
    <w:name w:val="footer"/>
    <w:basedOn w:val="a"/>
    <w:link w:val="Char0"/>
    <w:rsid w:val="004A6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4A6FD4"/>
    <w:rPr>
      <w:kern w:val="2"/>
      <w:sz w:val="18"/>
      <w:szCs w:val="18"/>
    </w:rPr>
  </w:style>
  <w:style w:type="paragraph" w:styleId="a7">
    <w:name w:val="Date"/>
    <w:basedOn w:val="a"/>
    <w:next w:val="a"/>
    <w:link w:val="Char1"/>
    <w:rsid w:val="008068CA"/>
    <w:pPr>
      <w:ind w:leftChars="2500" w:left="100"/>
    </w:pPr>
  </w:style>
  <w:style w:type="character" w:customStyle="1" w:styleId="Char1">
    <w:name w:val="日期 Char"/>
    <w:link w:val="a7"/>
    <w:rsid w:val="008068CA"/>
    <w:rPr>
      <w:kern w:val="2"/>
      <w:sz w:val="21"/>
      <w:szCs w:val="24"/>
    </w:rPr>
  </w:style>
  <w:style w:type="table" w:styleId="a8">
    <w:name w:val="Table Grid"/>
    <w:basedOn w:val="a1"/>
    <w:rsid w:val="00387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F5FD4-9150-4F1D-BB35-66C2CA9B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4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2024-03-29T16:03:00Z</dcterms:created>
  <dcterms:modified xsi:type="dcterms:W3CDTF">2024-03-29T16:03:00Z</dcterms:modified>
</cp:coreProperties>
</file>