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592ACF"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w:t>
      </w:r>
      <w:r>
        <w:rPr>
          <w:rFonts w:ascii="宋体" w:eastAsia="宋体" w:hAnsi="宋体" w:cs="宋体"/>
          <w:b/>
          <w:bCs/>
          <w:color w:val="000000" w:themeColor="text1"/>
          <w:kern w:val="0"/>
          <w:sz w:val="24"/>
          <w:szCs w:val="24"/>
        </w:rPr>
        <w:t>2023</w:t>
      </w:r>
      <w:r>
        <w:rPr>
          <w:rFonts w:ascii="宋体" w:eastAsia="宋体" w:hAnsi="宋体" w:cs="宋体"/>
          <w:b/>
          <w:bCs/>
          <w:color w:val="000000" w:themeColor="text1"/>
          <w:kern w:val="0"/>
          <w:sz w:val="24"/>
          <w:szCs w:val="24"/>
        </w:rPr>
        <w:t>年年度报告提示性公告</w:t>
      </w:r>
    </w:p>
    <w:p w:rsidR="00D51C65" w:rsidRDefault="00592ACF"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592ACF"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年年度报告所载资料不存在虚假记载、误导性陈述或重大遗漏，并对其内容的真实性、准确性和完整性承担个别及连带责任。</w:t>
      </w:r>
    </w:p>
    <w:p w:rsidR="00313CBA" w:rsidRDefault="00592ACF"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w:t>
      </w:r>
      <w:r>
        <w:rPr>
          <w:rFonts w:ascii="宋体" w:eastAsia="宋体" w:hAnsi="宋体" w:hint="eastAsia"/>
          <w:color w:val="000000" w:themeColor="text1"/>
          <w:sz w:val="24"/>
          <w:szCs w:val="24"/>
        </w:rPr>
        <w:t>30</w:t>
      </w:r>
      <w:r w:rsidR="005576B7">
        <w:rPr>
          <w:rFonts w:ascii="宋体" w:eastAsia="宋体" w:hAnsi="宋体"/>
          <w:color w:val="000000" w:themeColor="text1"/>
          <w:sz w:val="24"/>
          <w:szCs w:val="24"/>
        </w:rPr>
        <w:t>4</w:t>
      </w:r>
      <w:r>
        <w:rPr>
          <w:rFonts w:ascii="宋体" w:eastAsia="宋体" w:hAnsi="宋体" w:hint="eastAsia"/>
          <w:color w:val="000000" w:themeColor="text1"/>
          <w:sz w:val="24"/>
          <w:szCs w:val="24"/>
        </w:rPr>
        <w:t>只基金</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年度报告</w:t>
      </w:r>
      <w:r>
        <w:rPr>
          <w:rFonts w:ascii="宋体" w:eastAsia="宋体" w:hAnsi="宋体" w:cs="宋体" w:hint="eastAsia"/>
          <w:color w:val="000000" w:themeColor="text1"/>
          <w:kern w:val="0"/>
          <w:sz w:val="24"/>
          <w:szCs w:val="24"/>
        </w:rPr>
        <w:t>全文于</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03</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29</w:t>
      </w:r>
      <w:r>
        <w:rPr>
          <w:rFonts w:ascii="宋体" w:eastAsia="宋体" w:hAnsi="宋体" w:cs="宋体" w:hint="eastAsia"/>
          <w:color w:val="000000" w:themeColor="text1"/>
          <w:kern w:val="0"/>
          <w:sz w:val="24"/>
          <w:szCs w:val="24"/>
        </w:rPr>
        <w:t>日在本公司网站（</w:t>
      </w:r>
      <w:r>
        <w:rPr>
          <w:rFonts w:ascii="宋体" w:eastAsia="宋体" w:hAnsi="宋体" w:cs="宋体" w:hint="eastAsia"/>
          <w:color w:val="000000" w:themeColor="text1"/>
          <w:kern w:val="0"/>
          <w:sz w:val="24"/>
          <w:szCs w:val="24"/>
        </w:rPr>
        <w:t>www.99fund.com</w:t>
      </w:r>
      <w:r>
        <w:rPr>
          <w:rFonts w:ascii="宋体" w:eastAsia="宋体" w:hAnsi="宋体" w:cs="宋体" w:hint="eastAsia"/>
          <w:color w:val="000000" w:themeColor="text1"/>
          <w:kern w:val="0"/>
          <w:sz w:val="24"/>
          <w:szCs w:val="24"/>
        </w:rPr>
        <w:t>）和中国证监会基金电子披露网站（</w:t>
      </w:r>
      <w:r>
        <w:rPr>
          <w:rFonts w:ascii="宋体" w:eastAsia="宋体" w:hAnsi="宋体" w:cs="宋体"/>
          <w:color w:val="000000" w:themeColor="text1"/>
          <w:kern w:val="0"/>
          <w:sz w:val="24"/>
          <w:szCs w:val="24"/>
        </w:rPr>
        <w:t>http://eid.csrc.gov.cn/fund</w:t>
      </w:r>
      <w:r>
        <w:rPr>
          <w:rFonts w:ascii="宋体" w:eastAsia="宋体" w:hAnsi="宋体" w:cs="宋体"/>
          <w:color w:val="000000" w:themeColor="text1"/>
          <w:kern w:val="0"/>
          <w:sz w:val="24"/>
          <w:szCs w:val="24"/>
        </w:rPr>
        <w:t>）披露，供投资者查阅。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交易型开放式指数证券投资基金联接基金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月红添利定期开放债券型证券投资基金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60</w:t>
            </w:r>
            <w:r>
              <w:rPr>
                <w:rFonts w:ascii="宋体" w:eastAsia="宋体" w:hAnsi="宋体" w:cs="宋体"/>
                <w:color w:val="000000"/>
                <w:sz w:val="24"/>
                <w:szCs w:val="24"/>
              </w:rPr>
              <w:t>天债券型证券投资基金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14</w:t>
            </w:r>
            <w:r>
              <w:rPr>
                <w:rFonts w:ascii="宋体" w:eastAsia="宋体" w:hAnsi="宋体" w:cs="宋体"/>
                <w:color w:val="000000"/>
                <w:sz w:val="24"/>
                <w:szCs w:val="24"/>
              </w:rPr>
              <w:t>天债券型证券投资基金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w:t>
            </w:r>
            <w:r>
              <w:rPr>
                <w:rFonts w:ascii="宋体" w:eastAsia="宋体" w:hAnsi="宋体" w:cs="宋体"/>
                <w:color w:val="000000"/>
                <w:sz w:val="24"/>
                <w:szCs w:val="24"/>
              </w:rPr>
              <w:t>30</w:t>
            </w:r>
            <w:r>
              <w:rPr>
                <w:rFonts w:ascii="宋体" w:eastAsia="宋体" w:hAnsi="宋体" w:cs="宋体"/>
                <w:color w:val="000000"/>
                <w:sz w:val="24"/>
                <w:szCs w:val="24"/>
              </w:rPr>
              <w:t>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安中动态策略指数型证券投资基金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w:t>
            </w:r>
            <w:r>
              <w:rPr>
                <w:rFonts w:ascii="宋体" w:eastAsia="宋体" w:hAnsi="宋体" w:cs="宋体"/>
                <w:color w:val="000000"/>
                <w:sz w:val="24"/>
                <w:szCs w:val="24"/>
              </w:rPr>
              <w:t>QDII-LOF</w:t>
            </w:r>
            <w:r>
              <w:rPr>
                <w:rFonts w:ascii="宋体" w:eastAsia="宋体" w:hAnsi="宋体" w:cs="宋体"/>
                <w:color w:val="000000"/>
                <w:sz w:val="24"/>
                <w:szCs w:val="24"/>
              </w:rPr>
              <w:t>）</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指数增强型证券投资基金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w:t>
            </w:r>
            <w:r>
              <w:rPr>
                <w:rFonts w:ascii="宋体" w:eastAsia="宋体" w:hAnsi="宋体" w:cs="宋体"/>
                <w:color w:val="000000"/>
                <w:sz w:val="24"/>
                <w:szCs w:val="24"/>
              </w:rPr>
              <w:t>(LOF)</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w:t>
            </w:r>
            <w:r>
              <w:rPr>
                <w:rFonts w:ascii="宋体" w:eastAsia="宋体" w:hAnsi="宋体" w:cs="宋体"/>
                <w:color w:val="000000"/>
                <w:sz w:val="24"/>
                <w:szCs w:val="24"/>
              </w:rPr>
              <w:t>(LOF)</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w:t>
            </w:r>
            <w:r>
              <w:rPr>
                <w:rFonts w:ascii="宋体" w:eastAsia="宋体" w:hAnsi="宋体" w:cs="宋体"/>
                <w:color w:val="000000"/>
                <w:sz w:val="24"/>
                <w:szCs w:val="24"/>
              </w:rPr>
              <w:t>(LOF)</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汇添富双盈回报一年持有期债券型证券投资基金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5A3109" w:rsidTr="00990BD9">
        <w:tc>
          <w:tcPr>
            <w:tcW w:w="1000" w:type="dxa"/>
            <w:shd w:val="clear" w:color="auto" w:fill="FFFFFF"/>
            <w:vAlign w:val="center"/>
          </w:tcPr>
          <w:p w:rsidR="00D51C65" w:rsidRDefault="00592ACF"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592ACF"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汇添富中证港股通高股息投资指数发起式证券投资基金（LOF）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汇添富中证全指证券公司交易型开放式指数证券投资基金联接基金（LOF）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99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汇添富沪深300指数增强型证券投资基金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汇添富中证新能源汽车产业指数型发起式证券投资基金（LOF）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汇添富核心精选灵活配置混合型证券投资基金（LOF）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109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汇添富养老目标日期2030三年持有期混合型基金中基金（FOF）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汇添富悦享两年持有期混合型证券投资基金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119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汇添富AAA级信用纯债债券型证券投资基金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汇添富中债1-3年国开行债券指数证券投资基金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汇添富养老目标日期2040五年持有期混合型基金中基金（FOF）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汇添富养老目标日期2050五年持有期混合型发起式基金中基金（FOF）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汇添富90天滚动持有短债债券型证券投资基金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汇添富中债1-3年农发行债券指数证券投资基金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129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汇添富盛安39个月定期开放债券型证券投资基金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中证800交易型开放式指数证券投资基金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139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汇添富沪深300交易型开放式指数证券投资基金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汇添富中债7-10年国开行债券指数证券投资基金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149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汇添富科创板2年定期开放混合型证券投资基金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159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汇添富创新未来混合型证券投资基金（LOF）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汇添富盛和66个月定期开放债券型证券投资基金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汇添富高质量成长精选2年持有期混合型证券投资基金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汇添富沪深300基本面增强指数型证券投资基金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169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汇添富高质量成长30一年持有期混合型证券投资基金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179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汇添富ESG可持续成长股票型证券投资基金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汇添富稳利60天滚动持有短债债券型证券投资基金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189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199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汇添富中证500基本面增强指数型证券投资基金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汇添富中证800交易型开放式指数证券投资基金联接基金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汇添富彭博中国政策性银行债券1-3年指数证券投资基金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汇添富稳鑫120天滚动持有债券型证券投资基金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汇添富恒生科技交易型开放式指数证券投资基金发起式联接基金（QDII）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209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219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汇添富中债-市场隐含评级AA+及以上信用债（1-3年）指数发起式证券投资基金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汇添富上证50基本面增强指数型证券投资基金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汇添富稳福60天滚动持有中短债债券型证券投资基金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229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汇添富中证科创创业50指数增强型发起式证券投资基金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汇添富中证沪港深张江自主创新50交易型开放式指数证券投资基金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239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汇添富鑫添利6个月持有期混合型基金中基金（FOF）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汇添富中证同业存单AAA指数7天持有期证券投资基金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249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汇添富稳瑞30天滚动持有中短债债券型证券投资基金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汇添富中证1000交易型开放式指数证券投资基金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汇添富淳享一年定期开放债券型发起式证券投资基金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汇添富全球汽车产业升级混合型证券投资基金（QDII）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汇添富进取成长混合型证券投资基金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汇添富优势企业精选混合型证券投资基金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汇添富中证100交易型开放式指数证券投资基金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259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汇添富数字经济核心产业一年持有期混合型证券投资基金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汇添富中债1-5年政策性金融债指数证券投资基金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汇添富鑫润纯债债券型证券投资基金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汇添富品质价值混合型证券投资基金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汇添富创新成长混合型证券投资基金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汇添富北证50成份指数型证券投资基金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汇添富中证全指医疗器械交易型开放式指数证券投资基金发起式联接基金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汇添富丰和纯债债券型证券投资基金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269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汇添富制造业升级研究精选一年持有期混合型发起式证券投资基金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汇添富添添乐双盈债券型证券投资基金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汇添富核心优选六个月持有期混合型基金中基金（FOF）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汇添富鑫添盈一年持有期混合型基金中基金（FOF）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汇添富稳丰中短债债券型证券投资基金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汇添富纳斯达克生物科技交易型开放式指数证券投资基金发起式联接基金（QDII）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汇添富中证上海环交所碳中和交易型开放式指数证券投资基金发起式联接基金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汇添富新能源精选混合型发起式证券投资基金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汇添富战略精选中小盘市值3年持有期混合型发起式证券投资基金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279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汇添富纳斯达克100交易型开放式指数证券投资基金（QDII）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汇添富稳合4个月持有期债券型证券投资基金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汇添富中证800指数增强型证券投资基金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汇添富中证1000指数增强型证券投资基金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汇添富中证国新央企股东回报交易型开放式指数证券投资基金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汇添富添福欣享均衡养老目标三年持有期混合型发起式基金中基金（FOF）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汇添富量化选股混合型证券投资基金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汇添富添添鑫多元收益9个月持有期混合型证券投资基金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汇添富中证1000交易型开放式指数证券投资基金联接基金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汇添富中证800价值交易型开放式指数证券投资基金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289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汇添富双享增利债券型证券投资基金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汇添富鑫荣纯债债券型证券投资基金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汇添富添福智富均衡养老目标三年持有期混合型发起式基金中基金（FOF）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汇添富稳航30天持有期债券型证券投资基金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汇添富双颐债券型证券投资基金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汇添富添福鑫添益均衡养老目标三年持有期混合型发起式基金中基金（FOF）</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295</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汇添富华证专精特新100指数型发起式证券投资基金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296</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汇添富中证500增强策略交易型开放式指数证券投资基金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297</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汇添富纳斯达克100交易型开放式指数证券投资基金发起式联接基金（QDII）</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298</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汇添富远景成长一年持有期混合型证券投资基金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299</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汇添富成长领航混合型证券投资基金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300</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汇添富稳裕30天滚动持有债券型证券投资基金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301</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汇添富稳健回报债券型证券投资基金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302</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汇添富中证2000交易型开放式指数证券投资基金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303</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汇添富稳益60天持有期债券型证券投资基金</w:t>
            </w:r>
          </w:p>
        </w:tc>
      </w:tr>
      <w:tr w:rsidR="00990BD9" w:rsidTr="0089194B">
        <w:tc>
          <w:tcPr>
            <w:tcW w:w="1000" w:type="dxa"/>
            <w:shd w:val="clear" w:color="auto" w:fill="FFFFFF"/>
          </w:tcPr>
          <w:p w:rsidR="00990BD9" w:rsidRDefault="00990BD9" w:rsidP="00990BD9">
            <w:pPr>
              <w:jc w:val="center"/>
              <w:rPr>
                <w:rFonts w:ascii="宋体" w:eastAsia="宋体" w:hAnsi="宋体" w:cs="宋体"/>
                <w:color w:val="000000"/>
                <w:sz w:val="24"/>
                <w:szCs w:val="24"/>
              </w:rPr>
            </w:pPr>
            <w:r w:rsidRPr="00990BD9">
              <w:rPr>
                <w:rFonts w:ascii="宋体" w:eastAsia="宋体" w:hAnsi="宋体" w:cs="宋体"/>
                <w:color w:val="000000"/>
                <w:sz w:val="24"/>
                <w:szCs w:val="24"/>
              </w:rPr>
              <w:t>304</w:t>
            </w:r>
          </w:p>
        </w:tc>
        <w:tc>
          <w:tcPr>
            <w:tcW w:w="7400" w:type="dxa"/>
            <w:shd w:val="clear" w:color="auto" w:fill="FFFFFF"/>
            <w:vAlign w:val="center"/>
          </w:tcPr>
          <w:p w:rsidR="00990BD9" w:rsidRDefault="00990BD9" w:rsidP="00990BD9">
            <w:pPr>
              <w:jc w:val="left"/>
              <w:rPr>
                <w:rFonts w:ascii="宋体" w:eastAsia="宋体" w:hAnsi="宋体" w:cs="宋体"/>
                <w:color w:val="000000"/>
                <w:sz w:val="24"/>
                <w:szCs w:val="24"/>
              </w:rPr>
            </w:pPr>
            <w:r>
              <w:rPr>
                <w:rFonts w:ascii="宋体" w:eastAsia="宋体" w:hAnsi="宋体" w:cs="宋体"/>
                <w:color w:val="000000"/>
                <w:sz w:val="24"/>
                <w:szCs w:val="24"/>
              </w:rPr>
              <w:t>汇添富中证红利交易型开放式指数证券投资基金</w:t>
            </w:r>
          </w:p>
        </w:tc>
      </w:tr>
    </w:tbl>
    <w:p w:rsidR="00D51C65" w:rsidRDefault="00D51C65" w:rsidP="00D51C65">
      <w:pPr>
        <w:rPr>
          <w:rFonts w:ascii="宋体" w:eastAsia="宋体" w:hAnsi="宋体"/>
          <w:color w:val="000000" w:themeColor="text1"/>
          <w:sz w:val="24"/>
          <w:szCs w:val="24"/>
        </w:rPr>
      </w:pPr>
    </w:p>
    <w:p w:rsidR="00D51C65" w:rsidRPr="00D51C65" w:rsidRDefault="00592ACF"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592ACF"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592ACF"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592ACF"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592ACF"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2024</w:t>
      </w:r>
      <w:r w:rsidRPr="00D51C65">
        <w:rPr>
          <w:rFonts w:ascii="宋体" w:eastAsia="宋体" w:hAnsi="宋体" w:cs="宋体"/>
          <w:color w:val="000000" w:themeColor="text1"/>
          <w:kern w:val="0"/>
          <w:sz w:val="24"/>
          <w:szCs w:val="24"/>
        </w:rPr>
        <w:t>年</w:t>
      </w:r>
      <w:r w:rsidRPr="00D51C65">
        <w:rPr>
          <w:rFonts w:ascii="宋体" w:eastAsia="宋体" w:hAnsi="宋体" w:cs="宋体"/>
          <w:color w:val="000000" w:themeColor="text1"/>
          <w:kern w:val="0"/>
          <w:sz w:val="24"/>
          <w:szCs w:val="24"/>
        </w:rPr>
        <w:t>03</w:t>
      </w:r>
      <w:r w:rsidRPr="00D51C65">
        <w:rPr>
          <w:rFonts w:ascii="宋体" w:eastAsia="宋体" w:hAnsi="宋体" w:cs="宋体"/>
          <w:color w:val="000000" w:themeColor="text1"/>
          <w:kern w:val="0"/>
          <w:sz w:val="24"/>
          <w:szCs w:val="24"/>
        </w:rPr>
        <w:t>月</w:t>
      </w:r>
      <w:r w:rsidRPr="00D51C65">
        <w:rPr>
          <w:rFonts w:ascii="宋体" w:eastAsia="宋体" w:hAnsi="宋体" w:cs="宋体"/>
          <w:color w:val="000000" w:themeColor="text1"/>
          <w:kern w:val="0"/>
          <w:sz w:val="24"/>
          <w:szCs w:val="24"/>
        </w:rPr>
        <w:t>29</w:t>
      </w:r>
      <w:r w:rsidRPr="00D51C65">
        <w:rPr>
          <w:rFonts w:ascii="宋体" w:eastAsia="宋体" w:hAnsi="宋体" w:cs="宋体"/>
          <w:color w:val="000000" w:themeColor="text1"/>
          <w:kern w:val="0"/>
          <w:sz w:val="24"/>
          <w:szCs w:val="24"/>
        </w:rPr>
        <w:t>日</w:t>
      </w:r>
    </w:p>
    <w:sectPr w:rsidR="00D51C65" w:rsidRPr="00D51C65" w:rsidSect="007036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313CBA"/>
    <w:rsid w:val="003304FD"/>
    <w:rsid w:val="004831CD"/>
    <w:rsid w:val="00556C0A"/>
    <w:rsid w:val="005576B7"/>
    <w:rsid w:val="005653B9"/>
    <w:rsid w:val="00592ACF"/>
    <w:rsid w:val="005A3109"/>
    <w:rsid w:val="0070364A"/>
    <w:rsid w:val="007818DC"/>
    <w:rsid w:val="00990BD9"/>
    <w:rsid w:val="00BA729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7338</Characters>
  <Application>Microsoft Office Word</Application>
  <DocSecurity>4</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2024-03-28T16:05:00Z</dcterms:created>
  <dcterms:modified xsi:type="dcterms:W3CDTF">2024-03-28T16:05:00Z</dcterms:modified>
</cp:coreProperties>
</file>