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076CB4">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w:t>
      </w:r>
      <w:r w:rsidR="0013056B">
        <w:rPr>
          <w:rFonts w:ascii="黑体" w:eastAsia="黑体" w:hAnsi="黑体" w:cs="Arial" w:hint="eastAsia"/>
          <w:b/>
          <w:color w:val="000000"/>
          <w:kern w:val="0"/>
          <w:sz w:val="30"/>
          <w:szCs w:val="30"/>
        </w:rPr>
        <w:t>增加</w:t>
      </w:r>
      <w:r w:rsidR="00CE297C">
        <w:rPr>
          <w:rFonts w:ascii="黑体" w:eastAsia="黑体" w:hAnsi="黑体" w:cs="Arial" w:hint="eastAsia"/>
          <w:b/>
          <w:color w:val="000000"/>
          <w:kern w:val="0"/>
          <w:sz w:val="30"/>
          <w:szCs w:val="30"/>
        </w:rPr>
        <w:t>江苏银行股份有限公司</w:t>
      </w:r>
      <w:r w:rsidR="0013056B">
        <w:rPr>
          <w:rFonts w:ascii="黑体" w:eastAsia="黑体" w:hAnsi="黑体" w:cs="Arial" w:hint="eastAsia"/>
          <w:b/>
          <w:color w:val="000000"/>
          <w:kern w:val="0"/>
          <w:sz w:val="30"/>
          <w:szCs w:val="30"/>
        </w:rPr>
        <w:t>为</w:t>
      </w:r>
      <w:r w:rsidR="0013056B">
        <w:rPr>
          <w:rFonts w:ascii="黑体" w:eastAsia="黑体" w:hAnsi="黑体" w:cs="Arial"/>
          <w:b/>
          <w:color w:val="000000"/>
          <w:kern w:val="0"/>
          <w:sz w:val="30"/>
          <w:szCs w:val="30"/>
        </w:rPr>
        <w:t>销售</w:t>
      </w:r>
      <w:r>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CE297C" w:rsidRPr="00CE297C">
        <w:rPr>
          <w:rFonts w:ascii="宋体" w:hAnsi="宋体" w:cs="Arial" w:hint="eastAsia"/>
          <w:color w:val="000000"/>
          <w:kern w:val="0"/>
          <w:sz w:val="24"/>
          <w:szCs w:val="24"/>
        </w:rPr>
        <w:t>江苏银行股份有限公司</w:t>
      </w:r>
      <w:r>
        <w:rPr>
          <w:rFonts w:ascii="宋体" w:hAnsi="宋体" w:cs="Arial"/>
          <w:color w:val="000000"/>
          <w:kern w:val="0"/>
          <w:sz w:val="24"/>
          <w:szCs w:val="24"/>
        </w:rPr>
        <w:t>（以下简称“</w:t>
      </w:r>
      <w:r w:rsidR="00CE297C">
        <w:rPr>
          <w:rFonts w:ascii="宋体" w:hAnsi="宋体" w:cs="Arial" w:hint="eastAsia"/>
          <w:color w:val="000000"/>
          <w:kern w:val="0"/>
          <w:sz w:val="24"/>
          <w:szCs w:val="24"/>
        </w:rPr>
        <w:t>江苏银行</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2024年</w:t>
      </w:r>
      <w:r w:rsidR="00A87B66">
        <w:rPr>
          <w:rFonts w:ascii="宋体" w:hAnsi="宋体" w:cs="Arial"/>
          <w:color w:val="000000" w:themeColor="text1"/>
          <w:kern w:val="0"/>
          <w:sz w:val="24"/>
          <w:szCs w:val="24"/>
        </w:rPr>
        <w:t>3</w:t>
      </w:r>
      <w:r>
        <w:rPr>
          <w:rFonts w:ascii="宋体" w:hAnsi="宋体" w:cs="Arial"/>
          <w:color w:val="000000" w:themeColor="text1"/>
          <w:kern w:val="0"/>
          <w:sz w:val="24"/>
          <w:szCs w:val="24"/>
        </w:rPr>
        <w:t>月</w:t>
      </w:r>
      <w:r w:rsidR="00CE297C">
        <w:rPr>
          <w:rFonts w:ascii="宋体" w:hAnsi="宋体" w:cs="Arial"/>
          <w:color w:val="000000" w:themeColor="text1"/>
          <w:kern w:val="0"/>
          <w:sz w:val="24"/>
          <w:szCs w:val="24"/>
        </w:rPr>
        <w:t>29</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CE297C">
        <w:rPr>
          <w:rFonts w:ascii="宋体" w:hAnsi="宋体" w:cs="Arial" w:hint="eastAsia"/>
          <w:color w:val="000000" w:themeColor="text1"/>
          <w:kern w:val="0"/>
          <w:sz w:val="24"/>
          <w:szCs w:val="24"/>
        </w:rPr>
        <w:t>江苏银行</w:t>
      </w:r>
      <w:r>
        <w:rPr>
          <w:rFonts w:ascii="宋体" w:hAnsi="宋体" w:cs="Arial" w:hint="eastAsia"/>
          <w:color w:val="000000"/>
          <w:kern w:val="0"/>
          <w:sz w:val="24"/>
          <w:szCs w:val="24"/>
        </w:rPr>
        <w:t>将销售本公司旗下部分开放式证券投资基金。现将有关事项公告如下：</w:t>
      </w:r>
    </w:p>
    <w:p w:rsidR="005623FC" w:rsidRDefault="00076CB4" w:rsidP="002F3724">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9"/>
        <w:gridCol w:w="6780"/>
      </w:tblGrid>
      <w:tr w:rsidR="00476F09" w:rsidRPr="00476F09" w:rsidTr="00EE5603">
        <w:trPr>
          <w:trHeight w:val="285"/>
        </w:trPr>
        <w:tc>
          <w:tcPr>
            <w:tcW w:w="424" w:type="pct"/>
            <w:shd w:val="clear" w:color="auto" w:fill="auto"/>
            <w:noWrap/>
            <w:vAlign w:val="center"/>
            <w:hideMark/>
          </w:tcPr>
          <w:p w:rsidR="00476F09" w:rsidRP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序号</w:t>
            </w:r>
          </w:p>
        </w:tc>
        <w:tc>
          <w:tcPr>
            <w:tcW w:w="598" w:type="pct"/>
            <w:shd w:val="clear" w:color="auto" w:fill="auto"/>
            <w:noWrap/>
            <w:vAlign w:val="center"/>
            <w:hideMark/>
          </w:tcPr>
          <w:p w:rsid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基金</w:t>
            </w:r>
          </w:p>
          <w:p w:rsidR="00476F09" w:rsidRP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代码</w:t>
            </w:r>
          </w:p>
        </w:tc>
        <w:tc>
          <w:tcPr>
            <w:tcW w:w="3978" w:type="pct"/>
            <w:shd w:val="clear" w:color="auto" w:fill="auto"/>
            <w:noWrap/>
            <w:vAlign w:val="center"/>
            <w:hideMark/>
          </w:tcPr>
          <w:p w:rsidR="00476F09" w:rsidRP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基金名称</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000536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前海开源可转债债券</w:t>
            </w:r>
            <w:r w:rsidRPr="00476F09">
              <w:rPr>
                <w:rFonts w:ascii="宋体" w:hAnsi="宋体" w:cs="Arial"/>
                <w:sz w:val="20"/>
                <w:szCs w:val="20"/>
              </w:rPr>
              <w:t>型发起式证券投资基金</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000596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前海开源中证军工</w:t>
            </w:r>
            <w:r w:rsidRPr="00476F09">
              <w:rPr>
                <w:rFonts w:ascii="宋体" w:hAnsi="宋体" w:cs="Arial"/>
                <w:sz w:val="20"/>
                <w:szCs w:val="20"/>
              </w:rPr>
              <w:t>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002199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sz w:val="20"/>
                <w:szCs w:val="20"/>
              </w:rPr>
              <w:t>前海开源中证军工</w:t>
            </w:r>
            <w:r w:rsidRPr="00476F09">
              <w:rPr>
                <w:rFonts w:ascii="宋体" w:hAnsi="宋体" w:cs="Arial"/>
                <w:sz w:val="20"/>
                <w:szCs w:val="20"/>
              </w:rPr>
              <w:t>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000656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前海开源沪深300</w:t>
            </w:r>
            <w:r w:rsidRPr="00476F09">
              <w:rPr>
                <w:rFonts w:ascii="宋体" w:hAnsi="宋体" w:cs="Arial"/>
                <w:sz w:val="20"/>
                <w:szCs w:val="20"/>
              </w:rPr>
              <w:t>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000689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前海开源新经济灵活配置混</w:t>
            </w:r>
            <w:r w:rsidRPr="00476F09">
              <w:rPr>
                <w:rFonts w:ascii="宋体" w:hAnsi="宋体" w:cs="Arial"/>
                <w:sz w:val="20"/>
                <w:szCs w:val="20"/>
              </w:rPr>
              <w:t>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013157</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sz w:val="20"/>
                <w:szCs w:val="20"/>
              </w:rPr>
              <w:t>前海开源新</w:t>
            </w:r>
            <w:r w:rsidRPr="00476F09">
              <w:rPr>
                <w:rFonts w:ascii="宋体" w:hAnsi="宋体" w:cs="Arial"/>
                <w:sz w:val="20"/>
                <w:szCs w:val="20"/>
              </w:rPr>
              <w:t>经济灵活配置混合型证券投资基金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000690</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前海开源大海洋战略</w:t>
            </w:r>
            <w:r w:rsidRPr="00476F09">
              <w:rPr>
                <w:rFonts w:ascii="宋体" w:hAnsi="宋体" w:cs="Arial"/>
                <w:sz w:val="20"/>
                <w:szCs w:val="20"/>
              </w:rPr>
              <w:t>经济灵活配置混合型证券投资基金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000788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前海开源中国成</w:t>
            </w:r>
            <w:r w:rsidRPr="00476F09">
              <w:rPr>
                <w:rFonts w:ascii="宋体" w:hAnsi="宋体" w:cs="Arial"/>
                <w:sz w:val="20"/>
                <w:szCs w:val="20"/>
              </w:rPr>
              <w:t>长灵活配置混合型证券投资基金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000916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前海开源股息率100</w:t>
            </w:r>
            <w:r w:rsidRPr="00476F09">
              <w:rPr>
                <w:rFonts w:ascii="宋体" w:hAnsi="宋体" w:cs="Arial"/>
                <w:sz w:val="20"/>
                <w:szCs w:val="20"/>
              </w:rPr>
              <w:t>强等权重股票型证券投资基金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B4190A">
              <w:rPr>
                <w:rFonts w:ascii="宋体" w:hAnsi="宋体" w:cs="宋体"/>
                <w:color w:val="000000"/>
                <w:kern w:val="0"/>
                <w:sz w:val="20"/>
                <w:szCs w:val="20"/>
              </w:rPr>
              <w:t>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000969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前海开源大安全核心</w:t>
            </w:r>
            <w:r w:rsidRPr="00476F09">
              <w:rPr>
                <w:rFonts w:ascii="宋体" w:hAnsi="宋体" w:cs="Arial"/>
                <w:sz w:val="20"/>
                <w:szCs w:val="20"/>
              </w:rPr>
              <w:t>精选灵活配置混合型证券投资基金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B4190A">
              <w:rPr>
                <w:rFonts w:ascii="宋体" w:hAnsi="宋体" w:cs="宋体"/>
                <w:color w:val="000000"/>
                <w:kern w:val="0"/>
                <w:sz w:val="20"/>
                <w:szCs w:val="20"/>
              </w:rPr>
              <w:t>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001027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前海开源中证大农业指</w:t>
            </w:r>
            <w:r w:rsidRPr="00476F09">
              <w:rPr>
                <w:rFonts w:ascii="宋体" w:hAnsi="宋体" w:cs="Arial"/>
                <w:sz w:val="20"/>
                <w:szCs w:val="20"/>
              </w:rPr>
              <w:t>数增强型证券投资基金A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EB4AB8">
              <w:rPr>
                <w:rFonts w:ascii="宋体" w:hAnsi="宋体" w:cs="宋体"/>
                <w:color w:val="000000"/>
                <w:kern w:val="0"/>
                <w:sz w:val="20"/>
                <w:szCs w:val="20"/>
              </w:rPr>
              <w:t>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001060</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前海开源高端装备制造</w:t>
            </w:r>
            <w:r w:rsidRPr="00476F09">
              <w:rPr>
                <w:rFonts w:ascii="宋体" w:hAnsi="宋体" w:cs="Arial"/>
                <w:sz w:val="20"/>
                <w:szCs w:val="20"/>
              </w:rPr>
              <w:t>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EB4AB8">
              <w:rPr>
                <w:rFonts w:ascii="宋体" w:hAnsi="宋体" w:cs="宋体"/>
                <w:color w:val="000000"/>
                <w:kern w:val="0"/>
                <w:sz w:val="20"/>
                <w:szCs w:val="20"/>
              </w:rPr>
              <w:t>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001102</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前海开源国家比较优</w:t>
            </w:r>
            <w:r w:rsidRPr="00476F09">
              <w:rPr>
                <w:rFonts w:ascii="宋体" w:hAnsi="宋体" w:cs="Arial"/>
                <w:sz w:val="20"/>
                <w:szCs w:val="20"/>
              </w:rPr>
              <w:t>势灵活配置混合型证券投资基金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14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001103</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前海开源工业革命4.0灵活</w:t>
            </w:r>
            <w:r w:rsidRPr="00476F09">
              <w:rPr>
                <w:rFonts w:ascii="宋体" w:hAnsi="宋体" w:cs="Arial"/>
                <w:sz w:val="20"/>
                <w:szCs w:val="20"/>
              </w:rPr>
              <w:t>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15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001178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前海开源再融资主</w:t>
            </w:r>
            <w:r w:rsidRPr="00476F09">
              <w:rPr>
                <w:rFonts w:ascii="宋体" w:hAnsi="宋体" w:cs="Arial"/>
                <w:sz w:val="20"/>
                <w:szCs w:val="20"/>
              </w:rPr>
              <w:t>题精选股票型证券投资基金</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16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001209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海开源一带一路主题精选</w:t>
            </w:r>
            <w:r w:rsidRPr="00476F09">
              <w:rPr>
                <w:rFonts w:ascii="宋体" w:hAnsi="宋体" w:cs="Arial"/>
                <w:sz w:val="20"/>
                <w:szCs w:val="20"/>
              </w:rPr>
              <w:t>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17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001278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海开源清洁能源主</w:t>
            </w:r>
            <w:r w:rsidRPr="00476F09">
              <w:rPr>
                <w:rFonts w:ascii="宋体" w:hAnsi="宋体" w:cs="Arial"/>
                <w:sz w:val="20"/>
                <w:szCs w:val="20"/>
              </w:rPr>
              <w:t>题精选灵活配置混合型证券投资基金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002360</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海开源清洁能源主题精</w:t>
            </w:r>
            <w:r w:rsidRPr="00476F09">
              <w:rPr>
                <w:rFonts w:ascii="宋体" w:hAnsi="宋体" w:cs="Arial"/>
                <w:sz w:val="20"/>
                <w:szCs w:val="20"/>
              </w:rPr>
              <w:t>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001302</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前海开源金银珠宝主题精</w:t>
            </w:r>
            <w:r w:rsidRPr="00476F09">
              <w:rPr>
                <w:rFonts w:ascii="宋体" w:hAnsi="宋体" w:cs="Arial"/>
                <w:sz w:val="20"/>
                <w:szCs w:val="20"/>
              </w:rPr>
              <w:t>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002207</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海开源金银珠宝主题精</w:t>
            </w:r>
            <w:r w:rsidRPr="00476F09">
              <w:rPr>
                <w:rFonts w:ascii="宋体" w:hAnsi="宋体" w:cs="Arial"/>
                <w:sz w:val="20"/>
                <w:szCs w:val="20"/>
              </w:rPr>
              <w:t>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001679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前海开源中国稀缺资产灵</w:t>
            </w:r>
            <w:r w:rsidRPr="00476F09">
              <w:rPr>
                <w:rFonts w:ascii="宋体" w:hAnsi="宋体" w:cs="Arial"/>
                <w:sz w:val="20"/>
                <w:szCs w:val="20"/>
              </w:rPr>
              <w:t>活配置混合型证券投资基金A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002079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海开源中国稀缺</w:t>
            </w:r>
            <w:r w:rsidRPr="00476F09">
              <w:rPr>
                <w:rFonts w:ascii="宋体" w:hAnsi="宋体" w:cs="Arial"/>
                <w:sz w:val="20"/>
                <w:szCs w:val="20"/>
              </w:rPr>
              <w:t>资产灵活配置混合型证券投资基金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001837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前海开源沪港深蓝筹精</w:t>
            </w:r>
            <w:r w:rsidRPr="00476F09">
              <w:rPr>
                <w:rFonts w:ascii="宋体" w:hAnsi="宋体" w:cs="Arial"/>
                <w:sz w:val="20"/>
                <w:szCs w:val="20"/>
              </w:rPr>
              <w:t>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001870</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w:t>
            </w:r>
            <w:r w:rsidRPr="00476F09">
              <w:rPr>
                <w:rFonts w:ascii="宋体" w:hAnsi="宋体" w:cs="Arial"/>
                <w:sz w:val="20"/>
                <w:szCs w:val="20"/>
              </w:rPr>
              <w:t>现金增利货币市场基金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001871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前海开源现金</w:t>
            </w:r>
            <w:r w:rsidRPr="00476F09">
              <w:rPr>
                <w:rFonts w:ascii="宋体" w:hAnsi="宋体" w:cs="Arial"/>
                <w:sz w:val="20"/>
                <w:szCs w:val="20"/>
              </w:rPr>
              <w:t>增利货币市场基金</w:t>
            </w:r>
            <w:r w:rsidRPr="00476F09">
              <w:rPr>
                <w:rFonts w:ascii="宋体" w:hAnsi="宋体" w:cs="Arial" w:hint="eastAsia"/>
                <w:sz w:val="20"/>
                <w:szCs w:val="20"/>
              </w:rPr>
              <w:t>B</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001874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前海开源沪港深价值精</w:t>
            </w:r>
            <w:r w:rsidRPr="00476F09">
              <w:rPr>
                <w:rFonts w:ascii="宋体" w:hAnsi="宋体" w:cs="Arial"/>
                <w:sz w:val="20"/>
                <w:szCs w:val="20"/>
              </w:rPr>
              <w:t>选灵活配置混合型证券投资基金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001875</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前海开源沪港深优势精选灵活配置混合型证券投资基金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001986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前海开源人工智能主题</w:t>
            </w:r>
            <w:r w:rsidRPr="00476F09">
              <w:rPr>
                <w:rFonts w:ascii="宋体" w:hAnsi="宋体" w:cs="Arial"/>
                <w:sz w:val="20"/>
                <w:szCs w:val="20"/>
              </w:rPr>
              <w:t>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29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002407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海开源恒远灵活配置</w:t>
            </w:r>
            <w:r w:rsidRPr="00476F09">
              <w:rPr>
                <w:rFonts w:ascii="宋体" w:hAnsi="宋体" w:cs="Arial"/>
                <w:sz w:val="20"/>
                <w:szCs w:val="20"/>
              </w:rPr>
              <w:t>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30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002662</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前海开源沪港深大消费主题精选灵活配置混合型证券投资基金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002663</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前海开源沪港深大消费主题精选灵活配置混合型证券投资基金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002666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前海开源沪港深创新成长灵活配置混合型证券投资基金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002667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前海开源沪港深创新成长灵活配置混合型证券投资基金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002691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前海开源恒泽</w:t>
            </w:r>
            <w:r w:rsidRPr="00476F09">
              <w:rPr>
                <w:rFonts w:ascii="宋体" w:hAnsi="宋体" w:cs="Arial"/>
                <w:sz w:val="20"/>
                <w:szCs w:val="20"/>
              </w:rPr>
              <w:t>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003218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前海开源祥和债券型证券投资基金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003219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前海开源祥和债券型证券投资基金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003304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前海开源沪港深核心资源灵活配置混合型证券投资基金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003305</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前海开源沪港深核心资源灵活配置混合型证券投资基金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39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003857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前海开源周</w:t>
            </w:r>
            <w:r w:rsidRPr="00476F09">
              <w:rPr>
                <w:rFonts w:ascii="宋体" w:hAnsi="宋体" w:cs="Arial"/>
                <w:sz w:val="20"/>
                <w:szCs w:val="20"/>
              </w:rPr>
              <w:t>期优选灵活配置混合型证券投资基金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004098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前海开源港</w:t>
            </w:r>
            <w:r w:rsidRPr="00476F09">
              <w:rPr>
                <w:rFonts w:ascii="宋体" w:hAnsi="宋体" w:cs="Arial"/>
                <w:sz w:val="20"/>
                <w:szCs w:val="20"/>
              </w:rPr>
              <w:t>股通股息率50强股票型证券投资基金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004218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前海开源裕</w:t>
            </w:r>
            <w:r w:rsidRPr="00476F09">
              <w:rPr>
                <w:rFonts w:ascii="宋体" w:hAnsi="宋体" w:cs="Arial"/>
                <w:sz w:val="20"/>
                <w:szCs w:val="20"/>
              </w:rPr>
              <w:t>和混合型证券投资基金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B4190A" w:rsidP="006B37A5">
            <w:pPr>
              <w:widowControl/>
              <w:jc w:val="center"/>
              <w:rPr>
                <w:rFonts w:ascii="宋体" w:hAnsi="宋体" w:cs="宋体"/>
                <w:color w:val="000000"/>
                <w:kern w:val="0"/>
                <w:sz w:val="20"/>
                <w:szCs w:val="20"/>
              </w:rPr>
            </w:pPr>
            <w:r>
              <w:rPr>
                <w:rFonts w:ascii="宋体" w:hAnsi="宋体" w:cs="宋体"/>
                <w:color w:val="000000"/>
                <w:kern w:val="0"/>
                <w:sz w:val="20"/>
                <w:szCs w:val="20"/>
              </w:rPr>
              <w:t>4</w:t>
            </w:r>
            <w:r w:rsidR="00EB4AB8">
              <w:rPr>
                <w:rFonts w:ascii="宋体" w:hAnsi="宋体" w:cs="宋体"/>
                <w:color w:val="000000"/>
                <w:kern w:val="0"/>
                <w:sz w:val="20"/>
                <w:szCs w:val="20"/>
              </w:rPr>
              <w:t>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007502</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sz w:val="20"/>
                <w:szCs w:val="20"/>
              </w:rPr>
              <w:t>前海开源裕</w:t>
            </w:r>
            <w:r w:rsidRPr="00476F09">
              <w:rPr>
                <w:rFonts w:ascii="宋体" w:hAnsi="宋体" w:cs="Arial"/>
                <w:sz w:val="20"/>
                <w:szCs w:val="20"/>
              </w:rPr>
              <w:t>和混合型证券投资基金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004314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w:t>
            </w:r>
            <w:r w:rsidRPr="00B4190A">
              <w:rPr>
                <w:rFonts w:ascii="宋体" w:hAnsi="宋体" w:cs="Arial"/>
                <w:sz w:val="20"/>
                <w:szCs w:val="20"/>
              </w:rPr>
              <w:t>海开源沪港深新</w:t>
            </w:r>
            <w:r w:rsidRPr="00476F09">
              <w:rPr>
                <w:rFonts w:ascii="宋体" w:hAnsi="宋体" w:cs="Arial"/>
                <w:sz w:val="20"/>
                <w:szCs w:val="20"/>
              </w:rPr>
              <w:t>硬件主题灵活配置混合型证券投资基金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004315</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前海开源沪港深新硬件主题灵活配置混合型证券投资基金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004316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前海开源沪港深裕鑫灵活配置混合型证券投资基金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004317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前海开源沪港深裕鑫灵活配置混合型证券投资基金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004320</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前海开源沪港深乐享生活灵活配置混合型证券投资基金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004321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前海开源沪港深强国产业灵活配置混合型证券投资基金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49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004368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前海开源聚财宝货币市场基金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004369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前海开源聚财宝货币市场基金</w:t>
            </w:r>
            <w:r w:rsidRPr="00B4190A">
              <w:rPr>
                <w:rFonts w:ascii="宋体" w:hAnsi="宋体" w:cs="Arial" w:hint="eastAsia"/>
                <w:sz w:val="20"/>
                <w:szCs w:val="20"/>
              </w:rPr>
              <w:t>B</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004454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前海开源盈鑫灵活配置混合型证券投资基金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004496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前海开源多元策略灵活配置混合型证券投资基金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004497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前海开源多元策略灵活配置混合型证券投资基金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004602</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前海开源润和债券型证券投资基金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004603</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前海开源润和债券型证券投资基金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005301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w:t>
            </w:r>
            <w:r w:rsidRPr="00476F09">
              <w:rPr>
                <w:rFonts w:ascii="宋体" w:hAnsi="宋体" w:cs="Arial"/>
                <w:sz w:val="20"/>
                <w:szCs w:val="20"/>
              </w:rPr>
              <w:t>源弘泽债券型发起式证券投资基金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005323</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前海开源泽鑫灵</w:t>
            </w:r>
            <w:r w:rsidRPr="00476F09">
              <w:rPr>
                <w:rFonts w:ascii="宋体" w:hAnsi="宋体" w:cs="Arial"/>
                <w:sz w:val="20"/>
                <w:szCs w:val="20"/>
              </w:rPr>
              <w:t>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005453</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前海开源医疗健康灵活配置混合型证券投资基金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59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005454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前海开源医疗健康灵活配置混合型证券投资基金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005505</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前海开源中药研究精选股票型发起式证券投资基金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005506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前海开源中药研究精选股票型发起式证券投资基金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005669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前海开源公用事业</w:t>
            </w:r>
            <w:r w:rsidRPr="00476F09">
              <w:rPr>
                <w:rFonts w:ascii="宋体" w:hAnsi="宋体" w:cs="Arial"/>
                <w:sz w:val="20"/>
                <w:szCs w:val="20"/>
              </w:rPr>
              <w:t>行业股票型证券投资基金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006145</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前海开源鼎欣</w:t>
            </w:r>
            <w:r w:rsidRPr="00476F09">
              <w:rPr>
                <w:rFonts w:ascii="宋体" w:hAnsi="宋体" w:cs="Arial"/>
                <w:sz w:val="20"/>
                <w:szCs w:val="20"/>
              </w:rPr>
              <w:t>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006216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前海开源价值成长灵活配</w:t>
            </w:r>
            <w:r w:rsidRPr="00476F09">
              <w:rPr>
                <w:rFonts w:ascii="宋体" w:hAnsi="宋体" w:cs="Arial"/>
                <w:sz w:val="20"/>
                <w:szCs w:val="20"/>
              </w:rPr>
              <w:t>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006775</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前海开源优质成</w:t>
            </w:r>
            <w:r w:rsidRPr="00476F09">
              <w:rPr>
                <w:rFonts w:ascii="宋体" w:hAnsi="宋体" w:cs="Arial"/>
                <w:sz w:val="20"/>
                <w:szCs w:val="20"/>
              </w:rPr>
              <w:t>长混合型证券投资基金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007151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前海开源沪港深</w:t>
            </w:r>
            <w:r w:rsidRPr="00476F09">
              <w:rPr>
                <w:rFonts w:ascii="宋体" w:hAnsi="宋体" w:cs="Arial"/>
                <w:sz w:val="20"/>
                <w:szCs w:val="20"/>
              </w:rPr>
              <w:t>聚瑞混合型证券投资基金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008188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前海开源稳健增长三年持</w:t>
            </w:r>
            <w:r w:rsidRPr="00476F09">
              <w:rPr>
                <w:rFonts w:ascii="宋体" w:hAnsi="宋体" w:cs="Arial"/>
                <w:sz w:val="20"/>
                <w:szCs w:val="20"/>
              </w:rPr>
              <w:t>有期混合型发起式证券投资基金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008381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前海开源新兴</w:t>
            </w:r>
            <w:r w:rsidRPr="00476F09">
              <w:rPr>
                <w:rFonts w:ascii="宋体" w:hAnsi="宋体" w:cs="Arial"/>
                <w:sz w:val="20"/>
                <w:szCs w:val="20"/>
              </w:rPr>
              <w:t>产业混合型证券投资基金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69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014729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sz w:val="20"/>
                <w:szCs w:val="20"/>
              </w:rPr>
              <w:t>前海开源新兴</w:t>
            </w:r>
            <w:r w:rsidRPr="00476F09">
              <w:rPr>
                <w:rFonts w:ascii="宋体" w:hAnsi="宋体" w:cs="Arial"/>
                <w:sz w:val="20"/>
                <w:szCs w:val="20"/>
              </w:rPr>
              <w:t>产业混合型证券投资基金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009198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前海开源黄金交易型开放式证券投资基金联接基金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009894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前海开源惠盈39个月定期开放债券型证券投资基金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72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010717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前海开源优质企业6个月持有期混合型证券投资基金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010718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前海开源优质企业6个</w:t>
            </w:r>
            <w:r w:rsidRPr="00476F09">
              <w:rPr>
                <w:rFonts w:ascii="宋体" w:hAnsi="宋体" w:cs="Arial"/>
                <w:sz w:val="20"/>
                <w:szCs w:val="20"/>
              </w:rPr>
              <w:t>月持有期混合型证券投资基金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011287</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前海开源聚慧三年持有期混合型证券投资基金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011429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前海开源民裕进取混合型证券投资基金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76</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011588</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前海开源成份精选混合型证券投资基金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77</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011601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前海开源公共卫生主题精选股票型证券投资基金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011602</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前海开源公共卫生主题精选股票型证券投资基金</w:t>
            </w:r>
            <w:r w:rsidRPr="00B4190A">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79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011722</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前海开源深圳特区精选股票型证券投资基金</w:t>
            </w:r>
            <w:r w:rsidRPr="00B4190A">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012483</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前海开源优质</w:t>
            </w:r>
            <w:r w:rsidRPr="00476F09">
              <w:rPr>
                <w:rFonts w:ascii="宋体" w:hAnsi="宋体" w:cs="Arial"/>
                <w:sz w:val="20"/>
                <w:szCs w:val="20"/>
              </w:rPr>
              <w:t>龙头6个月持有期混合型证券投资基金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012484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前海开源优质龙头6个月持有期混合型证券投资基金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013270</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sz w:val="20"/>
                <w:szCs w:val="20"/>
              </w:rPr>
              <w:t>前海开源聚利一年</w:t>
            </w:r>
            <w:r w:rsidRPr="00476F09">
              <w:rPr>
                <w:rFonts w:ascii="宋体" w:hAnsi="宋体" w:cs="Arial"/>
                <w:sz w:val="20"/>
                <w:szCs w:val="20"/>
              </w:rPr>
              <w:t>持有期混合型证券投资基金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164402</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前海开源中航军工指数型证券投资基金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84</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015046</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前海开源中航军工指数型证券投资基金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85</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164401</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前海开源中证健康产业指数型证券投资基金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86</w:t>
            </w:r>
          </w:p>
        </w:tc>
        <w:tc>
          <w:tcPr>
            <w:tcW w:w="598" w:type="pct"/>
            <w:shd w:val="clear" w:color="auto" w:fill="auto"/>
            <w:noWrap/>
            <w:vAlign w:val="bottom"/>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164403</w:t>
            </w:r>
          </w:p>
        </w:tc>
        <w:tc>
          <w:tcPr>
            <w:tcW w:w="3978" w:type="pct"/>
            <w:shd w:val="clear" w:color="auto" w:fill="auto"/>
            <w:noWrap/>
            <w:vAlign w:val="bottom"/>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前海开源沪港深农业主题精选灵活配置混合型证券投资基金(LOF)A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87</w:t>
            </w:r>
          </w:p>
        </w:tc>
        <w:tc>
          <w:tcPr>
            <w:tcW w:w="598" w:type="pct"/>
            <w:shd w:val="clear" w:color="auto" w:fill="auto"/>
            <w:noWrap/>
            <w:vAlign w:val="bottom"/>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015210</w:t>
            </w:r>
          </w:p>
        </w:tc>
        <w:tc>
          <w:tcPr>
            <w:tcW w:w="3978" w:type="pct"/>
            <w:shd w:val="clear" w:color="auto" w:fill="auto"/>
            <w:noWrap/>
            <w:vAlign w:val="bottom"/>
          </w:tcPr>
          <w:p w:rsidR="006B37A5" w:rsidRPr="00B4190A" w:rsidRDefault="006B37A5" w:rsidP="006B37A5">
            <w:pPr>
              <w:widowControl/>
              <w:jc w:val="center"/>
              <w:rPr>
                <w:rFonts w:ascii="宋体" w:hAnsi="宋体" w:cs="Arial"/>
                <w:sz w:val="20"/>
                <w:szCs w:val="20"/>
              </w:rPr>
            </w:pPr>
            <w:r w:rsidRPr="00476F09">
              <w:rPr>
                <w:rFonts w:ascii="宋体" w:hAnsi="宋体" w:cs="Arial"/>
                <w:sz w:val="20"/>
                <w:szCs w:val="20"/>
              </w:rPr>
              <w:t>前海开源沪港深农业主题精选灵活配置混合型证券投资基金(LOF)C</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88</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007638</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hint="eastAsia"/>
                <w:sz w:val="20"/>
                <w:szCs w:val="20"/>
              </w:rPr>
              <w:t>前海开源康颐平衡养老目标三年持有期混合型发起式基金中基金(FOF)</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89</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006507</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hint="eastAsia"/>
                <w:sz w:val="20"/>
                <w:szCs w:val="20"/>
              </w:rPr>
              <w:t>前海开源裕泽定期开放混合型基金中基金(FOF)</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90</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005809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B4190A">
              <w:rPr>
                <w:rFonts w:ascii="宋体" w:hAnsi="宋体" w:cs="Arial" w:hint="eastAsia"/>
                <w:sz w:val="20"/>
                <w:szCs w:val="20"/>
              </w:rPr>
              <w:t>前海开源裕源混合型基金中基金(FOF)</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91</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012774</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hint="eastAsia"/>
                <w:sz w:val="20"/>
                <w:szCs w:val="20"/>
              </w:rPr>
              <w:t>前海开源丰和债券型证券投资基金A</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92</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006949</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hint="eastAsia"/>
                <w:sz w:val="20"/>
                <w:szCs w:val="20"/>
              </w:rPr>
              <w:t>前海开源乾利3个月定期开放债券型发起式证券投资基金</w:t>
            </w:r>
          </w:p>
        </w:tc>
      </w:tr>
      <w:tr w:rsidR="006B37A5" w:rsidRPr="00476F09" w:rsidTr="00EE5603">
        <w:trPr>
          <w:trHeight w:val="270"/>
        </w:trPr>
        <w:tc>
          <w:tcPr>
            <w:tcW w:w="424" w:type="pct"/>
            <w:shd w:val="clear" w:color="auto" w:fill="auto"/>
            <w:noWrap/>
            <w:vAlign w:val="center"/>
          </w:tcPr>
          <w:p w:rsidR="006B37A5" w:rsidRPr="00476F09" w:rsidRDefault="00EB4AB8" w:rsidP="006B37A5">
            <w:pPr>
              <w:widowControl/>
              <w:jc w:val="center"/>
              <w:rPr>
                <w:rFonts w:ascii="宋体" w:hAnsi="宋体" w:cs="宋体"/>
                <w:color w:val="000000"/>
                <w:kern w:val="0"/>
                <w:sz w:val="20"/>
                <w:szCs w:val="20"/>
              </w:rPr>
            </w:pPr>
            <w:r>
              <w:rPr>
                <w:rFonts w:ascii="宋体" w:hAnsi="宋体" w:cs="宋体"/>
                <w:color w:val="000000"/>
                <w:kern w:val="0"/>
                <w:sz w:val="20"/>
                <w:szCs w:val="20"/>
              </w:rPr>
              <w:t>93</w:t>
            </w:r>
          </w:p>
        </w:tc>
        <w:tc>
          <w:tcPr>
            <w:tcW w:w="598" w:type="pct"/>
            <w:shd w:val="clear" w:color="auto" w:fill="auto"/>
            <w:noWrap/>
            <w:vAlign w:val="center"/>
          </w:tcPr>
          <w:p w:rsidR="006B37A5" w:rsidRPr="00EB4AB8" w:rsidRDefault="006B37A5" w:rsidP="006B37A5">
            <w:pPr>
              <w:widowControl/>
              <w:jc w:val="center"/>
              <w:rPr>
                <w:rFonts w:ascii="宋体" w:hAnsi="宋体" w:cs="宋体"/>
                <w:color w:val="000000"/>
                <w:kern w:val="0"/>
                <w:sz w:val="20"/>
                <w:szCs w:val="20"/>
              </w:rPr>
            </w:pPr>
            <w:r w:rsidRPr="00EB4AB8">
              <w:rPr>
                <w:rFonts w:ascii="宋体" w:hAnsi="宋体" w:cs="宋体"/>
                <w:color w:val="000000"/>
                <w:kern w:val="0"/>
                <w:sz w:val="20"/>
                <w:szCs w:val="20"/>
              </w:rPr>
              <w:t>005720</w:t>
            </w:r>
          </w:p>
        </w:tc>
        <w:tc>
          <w:tcPr>
            <w:tcW w:w="3978" w:type="pct"/>
            <w:shd w:val="clear" w:color="auto" w:fill="auto"/>
            <w:noWrap/>
            <w:vAlign w:val="center"/>
          </w:tcPr>
          <w:p w:rsidR="006B37A5" w:rsidRPr="00B4190A" w:rsidRDefault="006B37A5" w:rsidP="006B37A5">
            <w:pPr>
              <w:widowControl/>
              <w:jc w:val="center"/>
              <w:rPr>
                <w:rFonts w:ascii="宋体" w:hAnsi="宋体" w:cs="Arial"/>
                <w:sz w:val="20"/>
                <w:szCs w:val="20"/>
              </w:rPr>
            </w:pPr>
            <w:r w:rsidRPr="00B4190A">
              <w:rPr>
                <w:rFonts w:ascii="宋体" w:hAnsi="宋体" w:cs="Arial" w:hint="eastAsia"/>
                <w:sz w:val="20"/>
                <w:szCs w:val="20"/>
              </w:rPr>
              <w:t>前海开源乾盛定期开放债券型发起式证券投资基金A</w:t>
            </w:r>
          </w:p>
        </w:tc>
      </w:tr>
    </w:tbl>
    <w:p w:rsidR="005623FC" w:rsidRDefault="00076CB4" w:rsidP="002F3724">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Pr>
          <w:rFonts w:ascii="宋体" w:hAnsi="宋体" w:cs="Arial"/>
          <w:color w:val="000000" w:themeColor="text1"/>
          <w:kern w:val="0"/>
          <w:sz w:val="24"/>
          <w:szCs w:val="24"/>
        </w:rPr>
        <w:t>2024年</w:t>
      </w:r>
      <w:r w:rsidR="00A87B66">
        <w:rPr>
          <w:rFonts w:ascii="宋体" w:hAnsi="宋体" w:cs="Arial"/>
          <w:color w:val="000000" w:themeColor="text1"/>
          <w:kern w:val="0"/>
          <w:sz w:val="24"/>
          <w:szCs w:val="24"/>
        </w:rPr>
        <w:t>3</w:t>
      </w:r>
      <w:r>
        <w:rPr>
          <w:rFonts w:ascii="宋体" w:hAnsi="宋体" w:cs="Arial"/>
          <w:color w:val="000000" w:themeColor="text1"/>
          <w:kern w:val="0"/>
          <w:sz w:val="24"/>
          <w:szCs w:val="24"/>
        </w:rPr>
        <w:t>月</w:t>
      </w:r>
      <w:r w:rsidR="00CE297C">
        <w:rPr>
          <w:rFonts w:ascii="宋体" w:hAnsi="宋体" w:cs="Arial"/>
          <w:color w:val="000000" w:themeColor="text1"/>
          <w:kern w:val="0"/>
          <w:sz w:val="24"/>
          <w:szCs w:val="24"/>
        </w:rPr>
        <w:t>29</w:t>
      </w:r>
      <w:r>
        <w:rPr>
          <w:rFonts w:ascii="宋体" w:hAnsi="宋体" w:cs="Arial"/>
          <w:color w:val="000000" w:themeColor="text1"/>
          <w:kern w:val="0"/>
          <w:sz w:val="24"/>
          <w:szCs w:val="24"/>
        </w:rPr>
        <w:t>日</w:t>
      </w:r>
      <w:r>
        <w:rPr>
          <w:rFonts w:ascii="宋体" w:hAnsi="宋体" w:cs="Arial"/>
          <w:color w:val="000000"/>
          <w:kern w:val="0"/>
          <w:sz w:val="24"/>
          <w:szCs w:val="24"/>
        </w:rPr>
        <w:t>起，投资者可通过</w:t>
      </w:r>
      <w:r w:rsidR="00CE297C">
        <w:rPr>
          <w:rFonts w:ascii="宋体" w:hAnsi="宋体" w:cs="Arial" w:hint="eastAsia"/>
          <w:color w:val="000000" w:themeColor="text1"/>
          <w:kern w:val="0"/>
          <w:sz w:val="24"/>
          <w:szCs w:val="24"/>
        </w:rPr>
        <w:t>江苏银行</w:t>
      </w:r>
      <w:r>
        <w:rPr>
          <w:rFonts w:ascii="宋体" w:hAnsi="宋体" w:cs="Arial"/>
          <w:color w:val="000000"/>
          <w:kern w:val="0"/>
          <w:sz w:val="24"/>
          <w:szCs w:val="24"/>
        </w:rPr>
        <w:t>办理上述适用基金的申购、</w:t>
      </w:r>
      <w:r>
        <w:rPr>
          <w:rFonts w:ascii="宋体" w:hAnsi="宋体" w:cs="Arial" w:hint="eastAsia"/>
          <w:color w:val="000000"/>
          <w:kern w:val="0"/>
          <w:sz w:val="24"/>
          <w:szCs w:val="24"/>
        </w:rPr>
        <w:t>定期定额投资（</w:t>
      </w:r>
      <w:r>
        <w:rPr>
          <w:rFonts w:ascii="宋体" w:hAnsi="宋体" w:cs="Arial"/>
          <w:color w:val="000000"/>
          <w:kern w:val="0"/>
          <w:sz w:val="24"/>
          <w:szCs w:val="24"/>
        </w:rPr>
        <w:t>以下简称“</w:t>
      </w:r>
      <w:r>
        <w:rPr>
          <w:rFonts w:ascii="宋体" w:hAnsi="宋体" w:cs="Arial" w:hint="eastAsia"/>
          <w:color w:val="000000"/>
          <w:kern w:val="0"/>
          <w:sz w:val="24"/>
          <w:szCs w:val="24"/>
        </w:rPr>
        <w:t>定投</w:t>
      </w:r>
      <w:r>
        <w:rPr>
          <w:rFonts w:ascii="宋体" w:hAnsi="宋体" w:cs="Arial"/>
          <w:color w:val="000000"/>
          <w:kern w:val="0"/>
          <w:sz w:val="24"/>
          <w:szCs w:val="24"/>
        </w:rPr>
        <w:t>”</w:t>
      </w:r>
      <w:r>
        <w:rPr>
          <w:rFonts w:ascii="宋体" w:hAnsi="宋体" w:cs="Arial" w:hint="eastAsia"/>
          <w:color w:val="000000"/>
          <w:kern w:val="0"/>
          <w:sz w:val="24"/>
          <w:szCs w:val="24"/>
        </w:rPr>
        <w:t>）、</w:t>
      </w:r>
      <w:r>
        <w:rPr>
          <w:rFonts w:ascii="宋体" w:hAnsi="宋体" w:cs="Arial"/>
          <w:color w:val="000000"/>
          <w:kern w:val="0"/>
          <w:sz w:val="24"/>
          <w:szCs w:val="24"/>
        </w:rPr>
        <w:t>赎回、</w:t>
      </w:r>
      <w:r>
        <w:rPr>
          <w:rFonts w:ascii="宋体" w:hAnsi="宋体" w:cs="Arial" w:hint="eastAsia"/>
          <w:color w:val="000000"/>
          <w:kern w:val="0"/>
          <w:sz w:val="24"/>
          <w:szCs w:val="24"/>
        </w:rPr>
        <w:t>转换等业务，业务开始或结束办理的具体时间及具体程序、规则以</w:t>
      </w:r>
      <w:r w:rsidR="00CE297C">
        <w:rPr>
          <w:rFonts w:ascii="宋体" w:hAnsi="宋体" w:cs="Arial" w:hint="eastAsia"/>
          <w:color w:val="000000" w:themeColor="text1"/>
          <w:kern w:val="0"/>
          <w:sz w:val="24"/>
          <w:szCs w:val="24"/>
        </w:rPr>
        <w:t>江苏银行</w:t>
      </w:r>
      <w:r>
        <w:rPr>
          <w:rFonts w:ascii="宋体" w:hAnsi="宋体" w:cs="Arial" w:hint="eastAsia"/>
          <w:color w:val="000000"/>
          <w:kern w:val="0"/>
          <w:sz w:val="24"/>
          <w:szCs w:val="24"/>
        </w:rPr>
        <w:t>的有关规定为准。</w:t>
      </w:r>
    </w:p>
    <w:p w:rsidR="005623FC" w:rsidRDefault="00076CB4" w:rsidP="002F3724">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CE297C">
        <w:rPr>
          <w:rFonts w:ascii="宋体" w:hAnsi="宋体" w:cs="Arial" w:hint="eastAsia"/>
          <w:color w:val="000000"/>
          <w:kern w:val="0"/>
          <w:sz w:val="24"/>
          <w:szCs w:val="24"/>
        </w:rPr>
        <w:t>江苏银行</w:t>
      </w:r>
      <w:r>
        <w:rPr>
          <w:rFonts w:ascii="宋体" w:hAnsi="宋体" w:cs="Arial" w:hint="eastAsia"/>
          <w:color w:val="000000"/>
          <w:kern w:val="0"/>
          <w:sz w:val="24"/>
          <w:szCs w:val="24"/>
        </w:rPr>
        <w:t>办理上述适用基金的申购、定投业务，其申购、定投费率</w:t>
      </w:r>
      <w:r w:rsidR="009417D4">
        <w:rPr>
          <w:rFonts w:ascii="宋体" w:hAnsi="宋体" w:cs="Arial"/>
          <w:color w:val="000000" w:themeColor="text1"/>
          <w:kern w:val="0"/>
          <w:sz w:val="24"/>
          <w:szCs w:val="24"/>
        </w:rPr>
        <w:t>不设折扣限制</w:t>
      </w:r>
      <w:r w:rsidR="009230C9">
        <w:rPr>
          <w:rFonts w:ascii="宋体" w:hAnsi="宋体" w:cs="Arial"/>
          <w:color w:val="000000" w:themeColor="text1"/>
          <w:kern w:val="0"/>
          <w:sz w:val="24"/>
          <w:szCs w:val="24"/>
        </w:rPr>
        <w:t>（</w:t>
      </w:r>
      <w:r w:rsidR="00A87B66">
        <w:rPr>
          <w:rFonts w:ascii="宋体" w:hAnsi="宋体" w:cs="Arial" w:hint="eastAsia"/>
          <w:color w:val="000000" w:themeColor="text1"/>
          <w:kern w:val="0"/>
          <w:sz w:val="24"/>
          <w:szCs w:val="24"/>
        </w:rPr>
        <w:t>包</w:t>
      </w:r>
      <w:r w:rsidR="009417D4">
        <w:rPr>
          <w:rFonts w:ascii="宋体" w:hAnsi="宋体" w:cs="Arial"/>
          <w:color w:val="000000" w:themeColor="text1"/>
          <w:kern w:val="0"/>
          <w:sz w:val="24"/>
          <w:szCs w:val="24"/>
        </w:rPr>
        <w:t>含固定费用</w:t>
      </w:r>
      <w:r w:rsidR="009230C9">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CE297C">
        <w:rPr>
          <w:rFonts w:ascii="宋体" w:hAnsi="宋体" w:cs="Arial" w:hint="eastAsia"/>
          <w:color w:val="000000" w:themeColor="text1"/>
          <w:kern w:val="0"/>
          <w:sz w:val="24"/>
          <w:szCs w:val="24"/>
        </w:rPr>
        <w:t>江苏银行</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sidR="00CE297C">
        <w:rPr>
          <w:rFonts w:ascii="宋体" w:hAnsi="宋体" w:cs="Arial" w:hint="eastAsia"/>
          <w:color w:val="000000" w:themeColor="text1"/>
          <w:kern w:val="0"/>
          <w:sz w:val="24"/>
          <w:szCs w:val="24"/>
        </w:rPr>
        <w:t>江苏银行</w:t>
      </w:r>
      <w:r>
        <w:rPr>
          <w:rFonts w:ascii="宋体" w:hAnsi="宋体" w:cs="Arial" w:hint="eastAsia"/>
          <w:color w:val="000000"/>
          <w:kern w:val="0"/>
          <w:sz w:val="24"/>
          <w:szCs w:val="24"/>
        </w:rPr>
        <w:t>办理本公司上述基金的定投业务，最低单笔定投金额为人民币</w:t>
      </w:r>
      <w:r w:rsidR="00A87B66">
        <w:rPr>
          <w:rFonts w:ascii="宋体" w:hAnsi="宋体" w:cs="Arial"/>
          <w:color w:val="000000" w:themeColor="text1"/>
          <w:kern w:val="0"/>
          <w:sz w:val="24"/>
          <w:szCs w:val="24"/>
        </w:rPr>
        <w:t>1</w:t>
      </w:r>
      <w:r w:rsidR="00391168">
        <w:rPr>
          <w:rFonts w:ascii="宋体" w:hAnsi="宋体" w:cs="Arial"/>
          <w:color w:val="000000" w:themeColor="text1"/>
          <w:kern w:val="0"/>
          <w:sz w:val="24"/>
          <w:szCs w:val="24"/>
        </w:rPr>
        <w:t>0</w:t>
      </w:r>
      <w:r w:rsidR="00CE297C">
        <w:rPr>
          <w:rFonts w:ascii="宋体" w:hAnsi="宋体" w:cs="Arial"/>
          <w:color w:val="000000" w:themeColor="text1"/>
          <w:kern w:val="0"/>
          <w:sz w:val="24"/>
          <w:szCs w:val="24"/>
        </w:rPr>
        <w:t>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5623FC"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hint="eastAsia"/>
          <w:color w:val="000000"/>
          <w:kern w:val="0"/>
          <w:sz w:val="24"/>
          <w:szCs w:val="24"/>
        </w:rPr>
        <w:t>、后续本公司新增通过</w:t>
      </w:r>
      <w:r w:rsidR="00CE297C">
        <w:rPr>
          <w:rFonts w:ascii="宋体" w:hAnsi="宋体" w:cs="Arial" w:hint="eastAsia"/>
          <w:color w:val="000000"/>
          <w:kern w:val="0"/>
          <w:sz w:val="24"/>
          <w:szCs w:val="24"/>
        </w:rPr>
        <w:t>江苏银行</w:t>
      </w:r>
      <w:r w:rsidR="00076CB4">
        <w:rPr>
          <w:rFonts w:ascii="宋体" w:hAnsi="宋体" w:cs="Arial" w:hint="eastAsia"/>
          <w:color w:val="000000"/>
          <w:kern w:val="0"/>
          <w:sz w:val="24"/>
          <w:szCs w:val="24"/>
        </w:rPr>
        <w:t>销售的基金产品除基金法律文件或产品相关公告有特殊规定外，适用上述费率优惠及定投业务办理最低限额，本公司不再另行公告。</w:t>
      </w:r>
    </w:p>
    <w:p w:rsidR="005C199A" w:rsidRPr="005C199A"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、处于封闭期的产品，自开放申购、赎回业务之日起，适用于上述费率优惠及定投业务办理最低限额，本公司不再另行公告。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5、</w:t>
      </w:r>
      <w:r>
        <w:rPr>
          <w:rFonts w:ascii="宋体" w:hAnsi="宋体" w:cs="Arial" w:hint="eastAsia"/>
          <w:color w:val="000000"/>
          <w:kern w:val="0"/>
          <w:sz w:val="24"/>
          <w:szCs w:val="24"/>
        </w:rPr>
        <w:t>LOF基金的相关规则以中国证券登记结算有限责任公司的具体业务规定为准。</w:t>
      </w:r>
    </w:p>
    <w:p w:rsidR="005623FC" w:rsidRDefault="00076CB4" w:rsidP="002F3724">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5623FC" w:rsidRDefault="00076CB4" w:rsidP="002F3724">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076CB4" w:rsidP="002F3724">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Pr>
          <w:rFonts w:ascii="宋体" w:hAnsi="宋体" w:cs="Arial" w:hint="eastAsia"/>
          <w:color w:val="000000"/>
          <w:kern w:val="0"/>
          <w:sz w:val="24"/>
          <w:szCs w:val="24"/>
        </w:rPr>
        <w:t>本公告解释权归本公司所有。</w:t>
      </w:r>
    </w:p>
    <w:p w:rsidR="005623FC" w:rsidRDefault="00076CB4" w:rsidP="002F3724">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w:t>
      </w:r>
      <w:r w:rsidR="00CE297C" w:rsidRPr="00CE297C">
        <w:rPr>
          <w:rFonts w:ascii="宋体" w:hAnsi="宋体" w:cs="Arial" w:hint="eastAsia"/>
          <w:color w:val="000000"/>
          <w:kern w:val="0"/>
          <w:sz w:val="24"/>
          <w:szCs w:val="24"/>
        </w:rPr>
        <w:t>江苏银行股份有限公司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CE297C" w:rsidRPr="00CE297C">
        <w:rPr>
          <w:rFonts w:ascii="宋体" w:hAnsi="宋体" w:cs="Arial"/>
          <w:color w:val="000000"/>
          <w:kern w:val="0"/>
          <w:sz w:val="24"/>
          <w:szCs w:val="24"/>
        </w:rPr>
        <w:t>95319</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CE297C" w:rsidRPr="00CE297C">
        <w:rPr>
          <w:rFonts w:ascii="宋体" w:hAnsi="宋体" w:cs="Arial"/>
          <w:color w:val="000000" w:themeColor="text1"/>
          <w:kern w:val="0"/>
          <w:sz w:val="24"/>
          <w:szCs w:val="24"/>
        </w:rPr>
        <w:t>www.jsbchina.cn</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2F3724">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476F09" w:rsidRPr="0045209F" w:rsidRDefault="00476F09" w:rsidP="00476F0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9230C9" w:rsidRPr="008F3733" w:rsidRDefault="009230C9" w:rsidP="009230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9230C9" w:rsidRDefault="009230C9" w:rsidP="009230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沪港深系列基金的</w:t>
      </w:r>
      <w:r>
        <w:rPr>
          <w:rFonts w:ascii="宋体" w:hAnsi="宋体" w:cs="Arial" w:hint="eastAsia"/>
          <w:color w:val="000000"/>
          <w:kern w:val="0"/>
          <w:sz w:val="24"/>
          <w:szCs w:val="24"/>
        </w:rPr>
        <w:t>基金</w:t>
      </w:r>
      <w:r w:rsidRPr="008F3733">
        <w:rPr>
          <w:rFonts w:ascii="宋体" w:hAnsi="宋体" w:cs="Arial" w:hint="eastAsia"/>
          <w:color w:val="000000"/>
          <w:kern w:val="0"/>
          <w:sz w:val="24"/>
          <w:szCs w:val="24"/>
        </w:rPr>
        <w:t>名称仅表明基金可以通过港股通机制投资港股，基金资产对港股标的投资比例会根据市场情况、投资策略等发生较大的调整，存在不对港股进行投资的可能。</w:t>
      </w:r>
    </w:p>
    <w:p w:rsidR="00476F09" w:rsidRPr="0045209F" w:rsidRDefault="00476F09" w:rsidP="00476F0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养老目标基金的</w:t>
      </w:r>
      <w:r>
        <w:rPr>
          <w:rFonts w:ascii="宋体" w:hAnsi="宋体" w:cs="Arial" w:hint="eastAsia"/>
          <w:color w:val="000000"/>
          <w:kern w:val="0"/>
          <w:sz w:val="24"/>
          <w:szCs w:val="24"/>
        </w:rPr>
        <w:t>基金</w:t>
      </w:r>
      <w:r w:rsidRPr="0045209F">
        <w:rPr>
          <w:rFonts w:ascii="宋体" w:hAnsi="宋体" w:cs="Arial" w:hint="eastAsia"/>
          <w:color w:val="000000"/>
          <w:kern w:val="0"/>
          <w:sz w:val="24"/>
          <w:szCs w:val="24"/>
        </w:rPr>
        <w:t>名称中包含“养老目标”字样，不代表基金收益保障或其他任何形式的收益承诺，基金管理人在此特别提示投资者：投资者投资于养老目标基金不保本，可能发生亏损。</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bookmarkStart w:id="0" w:name="_GoBack"/>
      <w:bookmarkEnd w:id="0"/>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9417D4">
      <w:pPr>
        <w:widowControl/>
        <w:shd w:val="clear" w:color="auto" w:fill="FFFFFF"/>
        <w:adjustRightInd w:val="0"/>
        <w:snapToGrid w:val="0"/>
        <w:spacing w:line="360" w:lineRule="auto"/>
        <w:ind w:firstLineChars="200" w:firstLine="480"/>
        <w:jc w:val="right"/>
        <w:rPr>
          <w:color w:val="FF0000"/>
        </w:rPr>
      </w:pPr>
      <w:r w:rsidRPr="009417D4">
        <w:rPr>
          <w:rFonts w:ascii="宋体" w:hAnsi="宋体" w:cs="Arial"/>
          <w:color w:val="000000"/>
          <w:kern w:val="0"/>
          <w:sz w:val="24"/>
          <w:szCs w:val="24"/>
        </w:rPr>
        <w:t>2024年</w:t>
      </w:r>
      <w:r w:rsidR="00A87B66">
        <w:rPr>
          <w:rFonts w:ascii="宋体" w:hAnsi="宋体" w:cs="Arial"/>
          <w:color w:val="000000"/>
          <w:kern w:val="0"/>
          <w:sz w:val="24"/>
          <w:szCs w:val="24"/>
        </w:rPr>
        <w:t>3</w:t>
      </w:r>
      <w:r w:rsidRPr="009417D4">
        <w:rPr>
          <w:rFonts w:ascii="宋体" w:hAnsi="宋体" w:cs="Arial"/>
          <w:color w:val="000000"/>
          <w:kern w:val="0"/>
          <w:sz w:val="24"/>
          <w:szCs w:val="24"/>
        </w:rPr>
        <w:t>月</w:t>
      </w:r>
      <w:r w:rsidR="00CE297C">
        <w:rPr>
          <w:rFonts w:ascii="宋体" w:hAnsi="宋体" w:cs="Arial"/>
          <w:color w:val="000000"/>
          <w:kern w:val="0"/>
          <w:sz w:val="24"/>
          <w:szCs w:val="24"/>
        </w:rPr>
        <w:t>29</w:t>
      </w:r>
      <w:r w:rsidRPr="009417D4">
        <w:rPr>
          <w:rFonts w:ascii="宋体" w:hAnsi="宋体" w:cs="Arial"/>
          <w:color w:val="000000"/>
          <w:kern w:val="0"/>
          <w:sz w:val="24"/>
          <w:szCs w:val="24"/>
        </w:rPr>
        <w:t>日</w:t>
      </w:r>
    </w:p>
    <w:sectPr w:rsidR="005623FC" w:rsidSect="00BF17C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22" w:rsidRDefault="00A25922">
      <w:r>
        <w:separator/>
      </w:r>
    </w:p>
  </w:endnote>
  <w:endnote w:type="continuationSeparator" w:id="0">
    <w:p w:rsidR="00A25922" w:rsidRDefault="00A25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22" w:rsidRDefault="00A25922">
      <w:r>
        <w:separator/>
      </w:r>
    </w:p>
  </w:footnote>
  <w:footnote w:type="continuationSeparator" w:id="0">
    <w:p w:rsidR="00A25922" w:rsidRDefault="00A2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F6" w:rsidRDefault="00BA57F6">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BA57F6" w:rsidRDefault="00BA57F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34C2"/>
    <w:rsid w:val="000442ED"/>
    <w:rsid w:val="00044F7B"/>
    <w:rsid w:val="00052A23"/>
    <w:rsid w:val="000539B9"/>
    <w:rsid w:val="00054FD3"/>
    <w:rsid w:val="00060C4F"/>
    <w:rsid w:val="000641E8"/>
    <w:rsid w:val="00064A4A"/>
    <w:rsid w:val="00066B51"/>
    <w:rsid w:val="000709A2"/>
    <w:rsid w:val="00071F49"/>
    <w:rsid w:val="00072709"/>
    <w:rsid w:val="0007546E"/>
    <w:rsid w:val="00076CB4"/>
    <w:rsid w:val="000865AE"/>
    <w:rsid w:val="00094A1B"/>
    <w:rsid w:val="000C0F62"/>
    <w:rsid w:val="000C3565"/>
    <w:rsid w:val="000D052F"/>
    <w:rsid w:val="000D7634"/>
    <w:rsid w:val="000E3C6B"/>
    <w:rsid w:val="000F6002"/>
    <w:rsid w:val="0010344B"/>
    <w:rsid w:val="00111219"/>
    <w:rsid w:val="0011704F"/>
    <w:rsid w:val="0013056B"/>
    <w:rsid w:val="00133541"/>
    <w:rsid w:val="00134461"/>
    <w:rsid w:val="0013797C"/>
    <w:rsid w:val="00145A86"/>
    <w:rsid w:val="001524EF"/>
    <w:rsid w:val="0016423F"/>
    <w:rsid w:val="00164F2D"/>
    <w:rsid w:val="00165B09"/>
    <w:rsid w:val="001724E1"/>
    <w:rsid w:val="00180165"/>
    <w:rsid w:val="0018732B"/>
    <w:rsid w:val="00192BD5"/>
    <w:rsid w:val="00192CEF"/>
    <w:rsid w:val="00193408"/>
    <w:rsid w:val="00194C79"/>
    <w:rsid w:val="001A3F03"/>
    <w:rsid w:val="001D19F8"/>
    <w:rsid w:val="001E508F"/>
    <w:rsid w:val="001E60F3"/>
    <w:rsid w:val="00220AE5"/>
    <w:rsid w:val="0022148D"/>
    <w:rsid w:val="00223811"/>
    <w:rsid w:val="00230F4C"/>
    <w:rsid w:val="0023169F"/>
    <w:rsid w:val="002351B7"/>
    <w:rsid w:val="00244B57"/>
    <w:rsid w:val="00246411"/>
    <w:rsid w:val="002479D1"/>
    <w:rsid w:val="002507A7"/>
    <w:rsid w:val="00251B16"/>
    <w:rsid w:val="00252FA3"/>
    <w:rsid w:val="0025317B"/>
    <w:rsid w:val="002631CC"/>
    <w:rsid w:val="00264431"/>
    <w:rsid w:val="002654C8"/>
    <w:rsid w:val="00270F5F"/>
    <w:rsid w:val="00275BCF"/>
    <w:rsid w:val="00276DA4"/>
    <w:rsid w:val="0027790A"/>
    <w:rsid w:val="00277F66"/>
    <w:rsid w:val="00287A3A"/>
    <w:rsid w:val="002A0758"/>
    <w:rsid w:val="002A2122"/>
    <w:rsid w:val="002A4AB8"/>
    <w:rsid w:val="002A689C"/>
    <w:rsid w:val="002A7C4B"/>
    <w:rsid w:val="002D0661"/>
    <w:rsid w:val="002D0FDF"/>
    <w:rsid w:val="002E1455"/>
    <w:rsid w:val="002E44D1"/>
    <w:rsid w:val="002F2F12"/>
    <w:rsid w:val="002F3724"/>
    <w:rsid w:val="00315AE9"/>
    <w:rsid w:val="00316026"/>
    <w:rsid w:val="00317AAF"/>
    <w:rsid w:val="00324AA8"/>
    <w:rsid w:val="00331565"/>
    <w:rsid w:val="00332F1A"/>
    <w:rsid w:val="00333522"/>
    <w:rsid w:val="003359E5"/>
    <w:rsid w:val="00337B61"/>
    <w:rsid w:val="0034459C"/>
    <w:rsid w:val="0035640E"/>
    <w:rsid w:val="003623A8"/>
    <w:rsid w:val="00364202"/>
    <w:rsid w:val="00370FF9"/>
    <w:rsid w:val="003715BA"/>
    <w:rsid w:val="00374625"/>
    <w:rsid w:val="00377EBD"/>
    <w:rsid w:val="00382BE7"/>
    <w:rsid w:val="00391168"/>
    <w:rsid w:val="00394297"/>
    <w:rsid w:val="003973E8"/>
    <w:rsid w:val="003A1DE1"/>
    <w:rsid w:val="003A3E4F"/>
    <w:rsid w:val="003A7615"/>
    <w:rsid w:val="003B6C01"/>
    <w:rsid w:val="003C07C7"/>
    <w:rsid w:val="003C5684"/>
    <w:rsid w:val="003C6164"/>
    <w:rsid w:val="003C6B15"/>
    <w:rsid w:val="003C6CAC"/>
    <w:rsid w:val="003D2794"/>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76F09"/>
    <w:rsid w:val="00481ADC"/>
    <w:rsid w:val="00481B4F"/>
    <w:rsid w:val="00486B91"/>
    <w:rsid w:val="0048736C"/>
    <w:rsid w:val="00495BA6"/>
    <w:rsid w:val="00495E06"/>
    <w:rsid w:val="004A0555"/>
    <w:rsid w:val="004A5152"/>
    <w:rsid w:val="004B5811"/>
    <w:rsid w:val="004B65CB"/>
    <w:rsid w:val="004C5705"/>
    <w:rsid w:val="004D60B4"/>
    <w:rsid w:val="004D74EB"/>
    <w:rsid w:val="004E1667"/>
    <w:rsid w:val="004F1566"/>
    <w:rsid w:val="00510964"/>
    <w:rsid w:val="00514512"/>
    <w:rsid w:val="00534E48"/>
    <w:rsid w:val="00545854"/>
    <w:rsid w:val="00546F39"/>
    <w:rsid w:val="00556031"/>
    <w:rsid w:val="00561A24"/>
    <w:rsid w:val="005623FC"/>
    <w:rsid w:val="005628A5"/>
    <w:rsid w:val="00563288"/>
    <w:rsid w:val="0057602C"/>
    <w:rsid w:val="005766B6"/>
    <w:rsid w:val="00580BDE"/>
    <w:rsid w:val="0058162C"/>
    <w:rsid w:val="0058355D"/>
    <w:rsid w:val="00583B13"/>
    <w:rsid w:val="00590F6B"/>
    <w:rsid w:val="00594DC3"/>
    <w:rsid w:val="00596990"/>
    <w:rsid w:val="005A2EAF"/>
    <w:rsid w:val="005A45B3"/>
    <w:rsid w:val="005A5B42"/>
    <w:rsid w:val="005C199A"/>
    <w:rsid w:val="005D703A"/>
    <w:rsid w:val="005E6727"/>
    <w:rsid w:val="005F0A1F"/>
    <w:rsid w:val="005F6D69"/>
    <w:rsid w:val="005F6E56"/>
    <w:rsid w:val="00602E55"/>
    <w:rsid w:val="00611081"/>
    <w:rsid w:val="0061236C"/>
    <w:rsid w:val="00613F45"/>
    <w:rsid w:val="00630F31"/>
    <w:rsid w:val="00632D12"/>
    <w:rsid w:val="00633137"/>
    <w:rsid w:val="00634868"/>
    <w:rsid w:val="00642546"/>
    <w:rsid w:val="00642777"/>
    <w:rsid w:val="00653AC9"/>
    <w:rsid w:val="00655CBA"/>
    <w:rsid w:val="00661079"/>
    <w:rsid w:val="006642FC"/>
    <w:rsid w:val="00673C1B"/>
    <w:rsid w:val="00673F4A"/>
    <w:rsid w:val="006768EF"/>
    <w:rsid w:val="0067712A"/>
    <w:rsid w:val="0068271D"/>
    <w:rsid w:val="0068279E"/>
    <w:rsid w:val="00686A5B"/>
    <w:rsid w:val="00686EC9"/>
    <w:rsid w:val="0069452E"/>
    <w:rsid w:val="006A58C4"/>
    <w:rsid w:val="006B17C8"/>
    <w:rsid w:val="006B37A5"/>
    <w:rsid w:val="006B5AB5"/>
    <w:rsid w:val="006B782F"/>
    <w:rsid w:val="006B7D76"/>
    <w:rsid w:val="006C0D45"/>
    <w:rsid w:val="006C3340"/>
    <w:rsid w:val="006C3DC5"/>
    <w:rsid w:val="006D5682"/>
    <w:rsid w:val="006D771F"/>
    <w:rsid w:val="006E00F9"/>
    <w:rsid w:val="006E1994"/>
    <w:rsid w:val="006E340B"/>
    <w:rsid w:val="006F3AD5"/>
    <w:rsid w:val="00700DC4"/>
    <w:rsid w:val="00713F26"/>
    <w:rsid w:val="00715251"/>
    <w:rsid w:val="00725D59"/>
    <w:rsid w:val="00732AFC"/>
    <w:rsid w:val="00734075"/>
    <w:rsid w:val="00734C29"/>
    <w:rsid w:val="00735F1E"/>
    <w:rsid w:val="00736252"/>
    <w:rsid w:val="0074395D"/>
    <w:rsid w:val="00743987"/>
    <w:rsid w:val="0075461B"/>
    <w:rsid w:val="007604AF"/>
    <w:rsid w:val="007634EF"/>
    <w:rsid w:val="00763A7B"/>
    <w:rsid w:val="00781E4F"/>
    <w:rsid w:val="00782A1C"/>
    <w:rsid w:val="00782DF4"/>
    <w:rsid w:val="00783DF8"/>
    <w:rsid w:val="007A03B7"/>
    <w:rsid w:val="007A53B4"/>
    <w:rsid w:val="007A5BAB"/>
    <w:rsid w:val="007D0D95"/>
    <w:rsid w:val="007E2CA2"/>
    <w:rsid w:val="007E42E4"/>
    <w:rsid w:val="007E4357"/>
    <w:rsid w:val="007E5E75"/>
    <w:rsid w:val="00800130"/>
    <w:rsid w:val="00802CD7"/>
    <w:rsid w:val="008058B2"/>
    <w:rsid w:val="008059F6"/>
    <w:rsid w:val="008164FD"/>
    <w:rsid w:val="00835FBF"/>
    <w:rsid w:val="00843FAC"/>
    <w:rsid w:val="008448A8"/>
    <w:rsid w:val="00853D84"/>
    <w:rsid w:val="0085488E"/>
    <w:rsid w:val="00864A5B"/>
    <w:rsid w:val="008677FD"/>
    <w:rsid w:val="00872AEE"/>
    <w:rsid w:val="008747AC"/>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E2115"/>
    <w:rsid w:val="008E5164"/>
    <w:rsid w:val="008F2B6D"/>
    <w:rsid w:val="008F3D92"/>
    <w:rsid w:val="008F619D"/>
    <w:rsid w:val="008F6C7D"/>
    <w:rsid w:val="008F6F2E"/>
    <w:rsid w:val="00900648"/>
    <w:rsid w:val="00905C70"/>
    <w:rsid w:val="00907F19"/>
    <w:rsid w:val="00913012"/>
    <w:rsid w:val="0091779F"/>
    <w:rsid w:val="009230C9"/>
    <w:rsid w:val="00923D64"/>
    <w:rsid w:val="009241CE"/>
    <w:rsid w:val="009417D4"/>
    <w:rsid w:val="00947A68"/>
    <w:rsid w:val="00953D75"/>
    <w:rsid w:val="00964DE5"/>
    <w:rsid w:val="00966456"/>
    <w:rsid w:val="00970BC8"/>
    <w:rsid w:val="00980236"/>
    <w:rsid w:val="0098596F"/>
    <w:rsid w:val="00990D58"/>
    <w:rsid w:val="00991070"/>
    <w:rsid w:val="0099744D"/>
    <w:rsid w:val="009A1C2A"/>
    <w:rsid w:val="009B0C50"/>
    <w:rsid w:val="009B1E7A"/>
    <w:rsid w:val="009B32A9"/>
    <w:rsid w:val="009C17EC"/>
    <w:rsid w:val="009C2F83"/>
    <w:rsid w:val="009C614A"/>
    <w:rsid w:val="009D2854"/>
    <w:rsid w:val="009D4CF3"/>
    <w:rsid w:val="009D7041"/>
    <w:rsid w:val="009E2862"/>
    <w:rsid w:val="009E40F3"/>
    <w:rsid w:val="009F4195"/>
    <w:rsid w:val="00A05C9D"/>
    <w:rsid w:val="00A05F48"/>
    <w:rsid w:val="00A15244"/>
    <w:rsid w:val="00A229FB"/>
    <w:rsid w:val="00A2591A"/>
    <w:rsid w:val="00A25922"/>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87B66"/>
    <w:rsid w:val="00A903B1"/>
    <w:rsid w:val="00A90BFC"/>
    <w:rsid w:val="00A97198"/>
    <w:rsid w:val="00AA0810"/>
    <w:rsid w:val="00AA16C7"/>
    <w:rsid w:val="00AA30D0"/>
    <w:rsid w:val="00AA570C"/>
    <w:rsid w:val="00AA69BD"/>
    <w:rsid w:val="00AA79CF"/>
    <w:rsid w:val="00AB76B4"/>
    <w:rsid w:val="00AC156B"/>
    <w:rsid w:val="00AD236A"/>
    <w:rsid w:val="00AD542E"/>
    <w:rsid w:val="00AE49C7"/>
    <w:rsid w:val="00AE711A"/>
    <w:rsid w:val="00AF4FBA"/>
    <w:rsid w:val="00B01A71"/>
    <w:rsid w:val="00B01BFD"/>
    <w:rsid w:val="00B06B60"/>
    <w:rsid w:val="00B1348E"/>
    <w:rsid w:val="00B22243"/>
    <w:rsid w:val="00B23D5B"/>
    <w:rsid w:val="00B25CB2"/>
    <w:rsid w:val="00B4190A"/>
    <w:rsid w:val="00B42CF7"/>
    <w:rsid w:val="00B5208C"/>
    <w:rsid w:val="00B52B67"/>
    <w:rsid w:val="00B65D19"/>
    <w:rsid w:val="00B71624"/>
    <w:rsid w:val="00B738DD"/>
    <w:rsid w:val="00B81897"/>
    <w:rsid w:val="00B82604"/>
    <w:rsid w:val="00B83136"/>
    <w:rsid w:val="00B90161"/>
    <w:rsid w:val="00B90609"/>
    <w:rsid w:val="00B92782"/>
    <w:rsid w:val="00B97ABE"/>
    <w:rsid w:val="00BA0C0A"/>
    <w:rsid w:val="00BA4E3E"/>
    <w:rsid w:val="00BA57F6"/>
    <w:rsid w:val="00BA5F5B"/>
    <w:rsid w:val="00BB287E"/>
    <w:rsid w:val="00BC1132"/>
    <w:rsid w:val="00BC39F3"/>
    <w:rsid w:val="00BC4DFC"/>
    <w:rsid w:val="00BD5248"/>
    <w:rsid w:val="00BE05F5"/>
    <w:rsid w:val="00BE0E90"/>
    <w:rsid w:val="00BE66E9"/>
    <w:rsid w:val="00BE7C68"/>
    <w:rsid w:val="00BF17C0"/>
    <w:rsid w:val="00BF5482"/>
    <w:rsid w:val="00C025A7"/>
    <w:rsid w:val="00C052D3"/>
    <w:rsid w:val="00C12883"/>
    <w:rsid w:val="00C227BF"/>
    <w:rsid w:val="00C24838"/>
    <w:rsid w:val="00C32923"/>
    <w:rsid w:val="00C378D0"/>
    <w:rsid w:val="00C412A0"/>
    <w:rsid w:val="00C43DC4"/>
    <w:rsid w:val="00C50F93"/>
    <w:rsid w:val="00C573F5"/>
    <w:rsid w:val="00C61A68"/>
    <w:rsid w:val="00C66731"/>
    <w:rsid w:val="00C7148E"/>
    <w:rsid w:val="00C74AC7"/>
    <w:rsid w:val="00C77D88"/>
    <w:rsid w:val="00C81D4E"/>
    <w:rsid w:val="00C86CBA"/>
    <w:rsid w:val="00CA1DDD"/>
    <w:rsid w:val="00CA66D8"/>
    <w:rsid w:val="00CA762E"/>
    <w:rsid w:val="00CB3BC8"/>
    <w:rsid w:val="00CC03CF"/>
    <w:rsid w:val="00CC3B6B"/>
    <w:rsid w:val="00CC738F"/>
    <w:rsid w:val="00CD59FC"/>
    <w:rsid w:val="00CE08B1"/>
    <w:rsid w:val="00CE13EA"/>
    <w:rsid w:val="00CE297C"/>
    <w:rsid w:val="00CE3A1E"/>
    <w:rsid w:val="00CE3BEA"/>
    <w:rsid w:val="00CE4C5E"/>
    <w:rsid w:val="00CF6A30"/>
    <w:rsid w:val="00D04615"/>
    <w:rsid w:val="00D04C82"/>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047D"/>
    <w:rsid w:val="00DD3AB3"/>
    <w:rsid w:val="00DD5705"/>
    <w:rsid w:val="00DE2BF2"/>
    <w:rsid w:val="00DE6B99"/>
    <w:rsid w:val="00DF2143"/>
    <w:rsid w:val="00DF48FA"/>
    <w:rsid w:val="00E05137"/>
    <w:rsid w:val="00E061F2"/>
    <w:rsid w:val="00E14F4A"/>
    <w:rsid w:val="00E22214"/>
    <w:rsid w:val="00E23AC4"/>
    <w:rsid w:val="00E242D6"/>
    <w:rsid w:val="00E2727F"/>
    <w:rsid w:val="00E32857"/>
    <w:rsid w:val="00E37E87"/>
    <w:rsid w:val="00E41286"/>
    <w:rsid w:val="00E45EF1"/>
    <w:rsid w:val="00E46108"/>
    <w:rsid w:val="00E477E6"/>
    <w:rsid w:val="00E5745E"/>
    <w:rsid w:val="00E6231D"/>
    <w:rsid w:val="00E62DD7"/>
    <w:rsid w:val="00E6625E"/>
    <w:rsid w:val="00E6688A"/>
    <w:rsid w:val="00E70629"/>
    <w:rsid w:val="00E739EE"/>
    <w:rsid w:val="00E74F00"/>
    <w:rsid w:val="00E755BE"/>
    <w:rsid w:val="00E857FC"/>
    <w:rsid w:val="00E87068"/>
    <w:rsid w:val="00E941D7"/>
    <w:rsid w:val="00EA5AC5"/>
    <w:rsid w:val="00EB4AB8"/>
    <w:rsid w:val="00EB7957"/>
    <w:rsid w:val="00EC1D60"/>
    <w:rsid w:val="00EC50FF"/>
    <w:rsid w:val="00EC6506"/>
    <w:rsid w:val="00EE0C05"/>
    <w:rsid w:val="00EE5603"/>
    <w:rsid w:val="00EE6288"/>
    <w:rsid w:val="00EF3B08"/>
    <w:rsid w:val="00EF5118"/>
    <w:rsid w:val="00F01D0B"/>
    <w:rsid w:val="00F1335E"/>
    <w:rsid w:val="00F15AED"/>
    <w:rsid w:val="00F15E6D"/>
    <w:rsid w:val="00F16D58"/>
    <w:rsid w:val="00F176E8"/>
    <w:rsid w:val="00F17E42"/>
    <w:rsid w:val="00F20554"/>
    <w:rsid w:val="00F23429"/>
    <w:rsid w:val="00F26CC7"/>
    <w:rsid w:val="00F30D08"/>
    <w:rsid w:val="00F3349F"/>
    <w:rsid w:val="00F356D9"/>
    <w:rsid w:val="00F40494"/>
    <w:rsid w:val="00F4108E"/>
    <w:rsid w:val="00F415D5"/>
    <w:rsid w:val="00F41FCE"/>
    <w:rsid w:val="00F44155"/>
    <w:rsid w:val="00F519EF"/>
    <w:rsid w:val="00F57090"/>
    <w:rsid w:val="00F61419"/>
    <w:rsid w:val="00F66659"/>
    <w:rsid w:val="00F70345"/>
    <w:rsid w:val="00F81557"/>
    <w:rsid w:val="00F83C33"/>
    <w:rsid w:val="00FB22F2"/>
    <w:rsid w:val="00FB2C5E"/>
    <w:rsid w:val="00FB55C5"/>
    <w:rsid w:val="00FC244C"/>
    <w:rsid w:val="00FD160D"/>
    <w:rsid w:val="00FD245D"/>
    <w:rsid w:val="00FD3787"/>
    <w:rsid w:val="00FE4379"/>
    <w:rsid w:val="00FF0A80"/>
    <w:rsid w:val="00FF0DEF"/>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C0"/>
    <w:pPr>
      <w:widowControl w:val="0"/>
      <w:jc w:val="both"/>
    </w:pPr>
    <w:rPr>
      <w:kern w:val="2"/>
      <w:sz w:val="21"/>
      <w:szCs w:val="22"/>
    </w:rPr>
  </w:style>
  <w:style w:type="paragraph" w:styleId="2">
    <w:name w:val="heading 2"/>
    <w:basedOn w:val="a"/>
    <w:next w:val="a"/>
    <w:link w:val="2Char"/>
    <w:uiPriority w:val="9"/>
    <w:qFormat/>
    <w:rsid w:val="00BF17C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F17C0"/>
    <w:pPr>
      <w:jc w:val="left"/>
    </w:pPr>
  </w:style>
  <w:style w:type="paragraph" w:styleId="a4">
    <w:name w:val="Balloon Text"/>
    <w:basedOn w:val="a"/>
    <w:link w:val="Char0"/>
    <w:uiPriority w:val="99"/>
    <w:semiHidden/>
    <w:unhideWhenUsed/>
    <w:rsid w:val="00BF17C0"/>
    <w:rPr>
      <w:sz w:val="18"/>
      <w:szCs w:val="18"/>
    </w:rPr>
  </w:style>
  <w:style w:type="paragraph" w:styleId="a5">
    <w:name w:val="footer"/>
    <w:basedOn w:val="a"/>
    <w:link w:val="Char1"/>
    <w:uiPriority w:val="99"/>
    <w:unhideWhenUsed/>
    <w:rsid w:val="00BF17C0"/>
    <w:pPr>
      <w:tabs>
        <w:tab w:val="center" w:pos="4153"/>
        <w:tab w:val="right" w:pos="8306"/>
      </w:tabs>
      <w:snapToGrid w:val="0"/>
      <w:jc w:val="left"/>
    </w:pPr>
    <w:rPr>
      <w:sz w:val="18"/>
      <w:szCs w:val="18"/>
    </w:rPr>
  </w:style>
  <w:style w:type="paragraph" w:styleId="a6">
    <w:name w:val="header"/>
    <w:basedOn w:val="a"/>
    <w:link w:val="Char2"/>
    <w:uiPriority w:val="99"/>
    <w:unhideWhenUsed/>
    <w:rsid w:val="00BF17C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BF17C0"/>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BF17C0"/>
    <w:rPr>
      <w:b/>
      <w:bCs/>
    </w:rPr>
  </w:style>
  <w:style w:type="table" w:styleId="a9">
    <w:name w:val="Table Grid"/>
    <w:basedOn w:val="a1"/>
    <w:uiPriority w:val="59"/>
    <w:qFormat/>
    <w:rsid w:val="00BF1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BF17C0"/>
    <w:rPr>
      <w:color w:val="0000FF"/>
      <w:u w:val="single"/>
    </w:rPr>
  </w:style>
  <w:style w:type="character" w:styleId="ab">
    <w:name w:val="annotation reference"/>
    <w:uiPriority w:val="99"/>
    <w:semiHidden/>
    <w:unhideWhenUsed/>
    <w:rsid w:val="00BF17C0"/>
    <w:rPr>
      <w:sz w:val="21"/>
      <w:szCs w:val="21"/>
    </w:rPr>
  </w:style>
  <w:style w:type="character" w:customStyle="1" w:styleId="Char2">
    <w:name w:val="页眉 Char"/>
    <w:link w:val="a6"/>
    <w:uiPriority w:val="99"/>
    <w:rsid w:val="00BF17C0"/>
    <w:rPr>
      <w:rFonts w:ascii="Calibri" w:eastAsia="宋体" w:hAnsi="Calibri" w:cs="Times New Roman"/>
      <w:sz w:val="18"/>
      <w:szCs w:val="18"/>
    </w:rPr>
  </w:style>
  <w:style w:type="character" w:customStyle="1" w:styleId="Char0">
    <w:name w:val="批注框文本 Char"/>
    <w:link w:val="a4"/>
    <w:uiPriority w:val="99"/>
    <w:semiHidden/>
    <w:qFormat/>
    <w:rsid w:val="00BF17C0"/>
    <w:rPr>
      <w:sz w:val="18"/>
      <w:szCs w:val="18"/>
    </w:rPr>
  </w:style>
  <w:style w:type="character" w:customStyle="1" w:styleId="Char1">
    <w:name w:val="页脚 Char"/>
    <w:link w:val="a5"/>
    <w:uiPriority w:val="99"/>
    <w:qFormat/>
    <w:rsid w:val="00BF17C0"/>
    <w:rPr>
      <w:kern w:val="2"/>
      <w:sz w:val="18"/>
      <w:szCs w:val="18"/>
    </w:rPr>
  </w:style>
  <w:style w:type="character" w:customStyle="1" w:styleId="Char">
    <w:name w:val="批注文字 Char"/>
    <w:link w:val="a3"/>
    <w:uiPriority w:val="99"/>
    <w:semiHidden/>
    <w:rsid w:val="00BF17C0"/>
    <w:rPr>
      <w:kern w:val="2"/>
      <w:sz w:val="21"/>
      <w:szCs w:val="22"/>
    </w:rPr>
  </w:style>
  <w:style w:type="character" w:customStyle="1" w:styleId="Char3">
    <w:name w:val="批注主题 Char"/>
    <w:link w:val="a8"/>
    <w:uiPriority w:val="99"/>
    <w:semiHidden/>
    <w:rsid w:val="00BF17C0"/>
    <w:rPr>
      <w:b/>
      <w:bCs/>
      <w:kern w:val="2"/>
      <w:sz w:val="21"/>
      <w:szCs w:val="22"/>
    </w:rPr>
  </w:style>
  <w:style w:type="character" w:customStyle="1" w:styleId="2Char">
    <w:name w:val="标题 2 Char"/>
    <w:link w:val="2"/>
    <w:uiPriority w:val="9"/>
    <w:rsid w:val="00BF17C0"/>
    <w:rPr>
      <w:rFonts w:ascii="宋体" w:hAnsi="宋体" w:cs="宋体"/>
      <w:b/>
      <w:bCs/>
      <w:sz w:val="36"/>
      <w:szCs w:val="36"/>
    </w:rPr>
  </w:style>
  <w:style w:type="paragraph" w:styleId="ac">
    <w:name w:val="List Paragraph"/>
    <w:basedOn w:val="a"/>
    <w:uiPriority w:val="34"/>
    <w:qFormat/>
    <w:rsid w:val="00BF17C0"/>
    <w:pPr>
      <w:ind w:firstLineChars="200" w:firstLine="420"/>
    </w:pPr>
  </w:style>
  <w:style w:type="paragraph" w:customStyle="1" w:styleId="1">
    <w:name w:val="修订1"/>
    <w:hidden/>
    <w:uiPriority w:val="99"/>
    <w:semiHidden/>
    <w:qFormat/>
    <w:rsid w:val="00BF17C0"/>
    <w:rPr>
      <w:kern w:val="2"/>
      <w:sz w:val="21"/>
      <w:szCs w:val="22"/>
    </w:rPr>
  </w:style>
</w:styles>
</file>

<file path=word/webSettings.xml><?xml version="1.0" encoding="utf-8"?>
<w:webSettings xmlns:r="http://schemas.openxmlformats.org/officeDocument/2006/relationships" xmlns:w="http://schemas.openxmlformats.org/wordprocessingml/2006/main">
  <w:divs>
    <w:div w:id="184944184">
      <w:bodyDiv w:val="1"/>
      <w:marLeft w:val="0"/>
      <w:marRight w:val="0"/>
      <w:marTop w:val="0"/>
      <w:marBottom w:val="0"/>
      <w:divBdr>
        <w:top w:val="none" w:sz="0" w:space="0" w:color="auto"/>
        <w:left w:val="none" w:sz="0" w:space="0" w:color="auto"/>
        <w:bottom w:val="none" w:sz="0" w:space="0" w:color="auto"/>
        <w:right w:val="none" w:sz="0" w:space="0" w:color="auto"/>
      </w:divBdr>
    </w:div>
    <w:div w:id="398673139">
      <w:bodyDiv w:val="1"/>
      <w:marLeft w:val="0"/>
      <w:marRight w:val="0"/>
      <w:marTop w:val="0"/>
      <w:marBottom w:val="0"/>
      <w:divBdr>
        <w:top w:val="none" w:sz="0" w:space="0" w:color="auto"/>
        <w:left w:val="none" w:sz="0" w:space="0" w:color="auto"/>
        <w:bottom w:val="none" w:sz="0" w:space="0" w:color="auto"/>
        <w:right w:val="none" w:sz="0" w:space="0" w:color="auto"/>
      </w:divBdr>
    </w:div>
    <w:div w:id="497502359">
      <w:bodyDiv w:val="1"/>
      <w:marLeft w:val="0"/>
      <w:marRight w:val="0"/>
      <w:marTop w:val="0"/>
      <w:marBottom w:val="0"/>
      <w:divBdr>
        <w:top w:val="none" w:sz="0" w:space="0" w:color="auto"/>
        <w:left w:val="none" w:sz="0" w:space="0" w:color="auto"/>
        <w:bottom w:val="none" w:sz="0" w:space="0" w:color="auto"/>
        <w:right w:val="none" w:sz="0" w:space="0" w:color="auto"/>
      </w:divBdr>
    </w:div>
    <w:div w:id="587663579">
      <w:bodyDiv w:val="1"/>
      <w:marLeft w:val="0"/>
      <w:marRight w:val="0"/>
      <w:marTop w:val="0"/>
      <w:marBottom w:val="0"/>
      <w:divBdr>
        <w:top w:val="none" w:sz="0" w:space="0" w:color="auto"/>
        <w:left w:val="none" w:sz="0" w:space="0" w:color="auto"/>
        <w:bottom w:val="none" w:sz="0" w:space="0" w:color="auto"/>
        <w:right w:val="none" w:sz="0" w:space="0" w:color="auto"/>
      </w:divBdr>
    </w:div>
    <w:div w:id="706493729">
      <w:bodyDiv w:val="1"/>
      <w:marLeft w:val="0"/>
      <w:marRight w:val="0"/>
      <w:marTop w:val="0"/>
      <w:marBottom w:val="0"/>
      <w:divBdr>
        <w:top w:val="none" w:sz="0" w:space="0" w:color="auto"/>
        <w:left w:val="none" w:sz="0" w:space="0" w:color="auto"/>
        <w:bottom w:val="none" w:sz="0" w:space="0" w:color="auto"/>
        <w:right w:val="none" w:sz="0" w:space="0" w:color="auto"/>
      </w:divBdr>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 w:id="198411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4860B8-6F22-434E-936D-CE45A3CC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4</DocSecurity>
  <Lines>35</Lines>
  <Paragraphs>9</Paragraphs>
  <ScaleCrop>false</ScaleCrop>
  <Company>Lenovo</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2024-03-28T16:03:00Z</dcterms:created>
  <dcterms:modified xsi:type="dcterms:W3CDTF">2024-03-28T16:03:00Z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