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95" w:rsidRDefault="00F43353" w:rsidP="00F43353">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财通证券资产管理有限公司旗下部分基金</w:t>
      </w:r>
    </w:p>
    <w:p w:rsidR="00C85F95" w:rsidRDefault="00F43353" w:rsidP="00F43353">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2023</w:t>
      </w:r>
      <w:r>
        <w:rPr>
          <w:rFonts w:ascii="仿宋" w:eastAsia="仿宋" w:hAnsi="仿宋" w:hint="eastAsia"/>
          <w:b/>
          <w:color w:val="000000" w:themeColor="text1"/>
          <w:sz w:val="32"/>
          <w:szCs w:val="32"/>
        </w:rPr>
        <w:t>年年度报告</w:t>
      </w:r>
      <w:r>
        <w:rPr>
          <w:rFonts w:ascii="仿宋" w:eastAsia="仿宋" w:hAnsi="仿宋" w:hint="eastAsia"/>
          <w:b/>
          <w:color w:val="000000" w:themeColor="text1"/>
          <w:sz w:val="32"/>
          <w:szCs w:val="32"/>
        </w:rPr>
        <w:t>提示性公告</w:t>
      </w:r>
    </w:p>
    <w:p w:rsidR="00C85F95" w:rsidRDefault="00C85F95" w:rsidP="00F43353">
      <w:pPr>
        <w:spacing w:line="540" w:lineRule="exact"/>
        <w:ind w:firstLineChars="50" w:firstLine="160"/>
        <w:jc w:val="center"/>
        <w:rPr>
          <w:rFonts w:ascii="仿宋" w:eastAsia="仿宋" w:hAnsi="仿宋"/>
          <w:b/>
          <w:color w:val="000000" w:themeColor="text1"/>
          <w:sz w:val="32"/>
          <w:szCs w:val="32"/>
        </w:rPr>
      </w:pP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本公司董事会及董事保证基金年度报告所载资料不存在虚假记载、误导性陈述或重大遗漏，并对其内容的真实性、准确性和完整性承担个别及连带责任。</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财通证券资产管理有限公司旗下</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财通资管积极收益债券型发起式证券投资基金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财通资管鑫管家货币市场基金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财通资管鑫逸回报混合型证券投资基金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财通资管鑫锐回报混合型证券投资基金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财通资管鸿达纯债债券型证券投资基金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财通资管睿智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财通资管消费精选灵活配置混合型证券投资基金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财通资管鑫盛</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个月定期开放混合型证券投资基金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财通资管瑞享</w:t>
      </w:r>
      <w:r>
        <w:rPr>
          <w:rFonts w:ascii="仿宋" w:eastAsia="仿宋" w:hAnsi="仿宋" w:hint="eastAsia"/>
          <w:color w:val="000000" w:themeColor="text1"/>
          <w:sz w:val="32"/>
          <w:szCs w:val="32"/>
        </w:rPr>
        <w:t>12</w:t>
      </w:r>
      <w:r>
        <w:rPr>
          <w:rFonts w:ascii="仿宋" w:eastAsia="仿宋" w:hAnsi="仿宋" w:hint="eastAsia"/>
          <w:color w:val="000000" w:themeColor="text1"/>
          <w:sz w:val="32"/>
          <w:szCs w:val="32"/>
        </w:rPr>
        <w:t>个月定期开放混合型证券投资基金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财通资管鸿睿</w:t>
      </w:r>
      <w:r>
        <w:rPr>
          <w:rFonts w:ascii="仿宋" w:eastAsia="仿宋" w:hAnsi="仿宋" w:hint="eastAsia"/>
          <w:color w:val="000000" w:themeColor="text1"/>
          <w:sz w:val="32"/>
          <w:szCs w:val="32"/>
        </w:rPr>
        <w:t>12</w:t>
      </w:r>
      <w:r>
        <w:rPr>
          <w:rFonts w:ascii="仿宋" w:eastAsia="仿宋" w:hAnsi="仿宋" w:hint="eastAsia"/>
          <w:color w:val="000000" w:themeColor="text1"/>
          <w:sz w:val="32"/>
          <w:szCs w:val="32"/>
        </w:rPr>
        <w:t>个月定期开放债券型证券投资基金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财通资管鸿益中短债债券型证券投资基金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财通资管鸿利中短债债券型证券投资基金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财通资管鸿运中短债债券型证券投资基金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财通资管价值成长混合型证券投资基金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财通资管鸿福短债债券型证券投资基金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财通资管丰和两年定期开放债券型证券投资基金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财通资管价值发现混合型证券投资基金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财通资管行业精选混合型证券投资基金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财通资管鸿盛</w:t>
      </w:r>
      <w:r>
        <w:rPr>
          <w:rFonts w:ascii="仿宋" w:eastAsia="仿宋" w:hAnsi="仿宋" w:hint="eastAsia"/>
          <w:color w:val="000000" w:themeColor="text1"/>
          <w:sz w:val="32"/>
          <w:szCs w:val="32"/>
        </w:rPr>
        <w:t>12</w:t>
      </w:r>
      <w:r>
        <w:rPr>
          <w:rFonts w:ascii="仿宋" w:eastAsia="仿宋" w:hAnsi="仿宋" w:hint="eastAsia"/>
          <w:color w:val="000000" w:themeColor="text1"/>
          <w:sz w:val="32"/>
          <w:szCs w:val="32"/>
        </w:rPr>
        <w:t>个月定期开放债券型证券投资基金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财通资管科技创新一年</w:t>
      </w:r>
      <w:r>
        <w:rPr>
          <w:rFonts w:ascii="仿宋" w:eastAsia="仿宋" w:hAnsi="仿宋" w:hint="eastAsia"/>
          <w:color w:val="000000" w:themeColor="text1"/>
          <w:sz w:val="32"/>
          <w:szCs w:val="32"/>
        </w:rPr>
        <w:t>定期开放混合型证券投资基金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财通资管丰乾</w:t>
      </w:r>
      <w:r>
        <w:rPr>
          <w:rFonts w:ascii="仿宋" w:eastAsia="仿宋" w:hAnsi="仿宋" w:hint="eastAsia"/>
          <w:color w:val="000000" w:themeColor="text1"/>
          <w:sz w:val="32"/>
          <w:szCs w:val="32"/>
        </w:rPr>
        <w:t>39</w:t>
      </w:r>
      <w:r>
        <w:rPr>
          <w:rFonts w:ascii="仿宋" w:eastAsia="仿宋" w:hAnsi="仿宋" w:hint="eastAsia"/>
          <w:color w:val="000000" w:themeColor="text1"/>
          <w:sz w:val="32"/>
          <w:szCs w:val="32"/>
        </w:rPr>
        <w:t>个月定期开放债券型证券投资基金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财通资管优选回报一年持有期混合型证券投资基金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财通资管均衡价值一年持有期混合型证券投资基金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财通资管宸瑞一年持有期混合型证券投资基金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财通资管智选核心回报</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个月持有期混合型发起式证券投资基金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财通资管睿慧</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年定期开放债券型发起式证券投资基金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财通资管价值精选一年持有期混合型证券投资基金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财通资管鸿安</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天滚动持有中短债债券型发起式证券投资基金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财通资管消费升级一年持有期混合型证券投资基金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财通资管鸿启</w:t>
      </w:r>
      <w:r>
        <w:rPr>
          <w:rFonts w:ascii="仿宋" w:eastAsia="仿宋" w:hAnsi="仿宋" w:hint="eastAsia"/>
          <w:color w:val="000000" w:themeColor="text1"/>
          <w:sz w:val="32"/>
          <w:szCs w:val="32"/>
        </w:rPr>
        <w:t>90</w:t>
      </w:r>
      <w:r>
        <w:rPr>
          <w:rFonts w:ascii="仿宋" w:eastAsia="仿宋" w:hAnsi="仿宋" w:hint="eastAsia"/>
          <w:color w:val="000000" w:themeColor="text1"/>
          <w:sz w:val="32"/>
          <w:szCs w:val="32"/>
        </w:rPr>
        <w:t>天滚动持有中短债债券型发起式证券投资基金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年国开行债券指数证券投资基金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财通资管中证有色金属指数型发起式证券投资基金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财通资管鸿享</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天滚动持有中短债债券型发起式证券投资基金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财通资管双盈债券型发起式证券投资基金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财通资管中证钢铁指数型发起式证券投资基金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财通资管鸿越</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个月滚动持有债券型证券投资基金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财通资管新能源汽车混合型发起式证券投资基金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财通资管健康产业混合型证券投资基金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财通资管鸿佳</w:t>
      </w:r>
      <w:r>
        <w:rPr>
          <w:rFonts w:ascii="仿宋" w:eastAsia="仿宋" w:hAnsi="仿宋" w:hint="eastAsia"/>
          <w:color w:val="000000" w:themeColor="text1"/>
          <w:sz w:val="32"/>
          <w:szCs w:val="32"/>
        </w:rPr>
        <w:t>60</w:t>
      </w:r>
      <w:r>
        <w:rPr>
          <w:rFonts w:ascii="仿宋" w:eastAsia="仿宋" w:hAnsi="仿宋" w:hint="eastAsia"/>
          <w:color w:val="000000" w:themeColor="text1"/>
          <w:sz w:val="32"/>
          <w:szCs w:val="32"/>
        </w:rPr>
        <w:t>天滚动持有中短债债券型发起式证券投资基金</w:t>
      </w:r>
    </w:p>
    <w:p w:rsidR="00C85F95" w:rsidRDefault="00F43353">
      <w:pPr>
        <w:spacing w:line="540" w:lineRule="exact"/>
        <w:ind w:leftChars="350" w:left="735"/>
        <w:rPr>
          <w:rFonts w:ascii="仿宋" w:eastAsia="仿宋" w:hAnsi="仿宋"/>
          <w:color w:val="000000" w:themeColor="text1"/>
          <w:sz w:val="32"/>
          <w:szCs w:val="32"/>
        </w:rPr>
      </w:pPr>
      <w:r>
        <w:rPr>
          <w:rFonts w:ascii="仿宋" w:eastAsia="仿宋" w:hAnsi="仿宋" w:hint="eastAsia"/>
          <w:color w:val="000000" w:themeColor="text1"/>
          <w:sz w:val="32"/>
          <w:szCs w:val="32"/>
        </w:rPr>
        <w:t>财通资管新聚益</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个月持有期混合型发起式</w:t>
      </w:r>
      <w:r>
        <w:rPr>
          <w:rFonts w:ascii="仿宋" w:eastAsia="仿宋" w:hAnsi="仿宋" w:hint="eastAsia"/>
          <w:color w:val="000000" w:themeColor="text1"/>
          <w:sz w:val="32"/>
          <w:szCs w:val="32"/>
        </w:rPr>
        <w:t>证券投资基金财通资管稳兴增益六个月持有期混合型证券投资基金</w:t>
      </w:r>
    </w:p>
    <w:p w:rsidR="00C85F95" w:rsidRDefault="00F43353">
      <w:pPr>
        <w:spacing w:line="540" w:lineRule="exact"/>
        <w:ind w:leftChars="350" w:left="735"/>
        <w:rPr>
          <w:rFonts w:ascii="仿宋" w:eastAsia="仿宋" w:hAnsi="仿宋"/>
          <w:color w:val="000000" w:themeColor="text1"/>
          <w:sz w:val="32"/>
          <w:szCs w:val="32"/>
        </w:rPr>
      </w:pPr>
      <w:r>
        <w:rPr>
          <w:rFonts w:ascii="仿宋" w:eastAsia="仿宋" w:hAnsi="仿宋" w:hint="eastAsia"/>
          <w:color w:val="000000" w:themeColor="text1"/>
          <w:sz w:val="32"/>
          <w:szCs w:val="32"/>
        </w:rPr>
        <w:t>财通资管鸿商中短债债券型证券投资基金</w:t>
      </w:r>
    </w:p>
    <w:p w:rsidR="00C85F95" w:rsidRDefault="00F43353">
      <w:pPr>
        <w:spacing w:line="540" w:lineRule="exact"/>
        <w:ind w:leftChars="350" w:left="735"/>
        <w:rPr>
          <w:rFonts w:ascii="仿宋" w:eastAsia="仿宋" w:hAnsi="仿宋"/>
          <w:color w:val="000000" w:themeColor="text1"/>
          <w:sz w:val="32"/>
          <w:szCs w:val="32"/>
        </w:rPr>
      </w:pPr>
      <w:r>
        <w:rPr>
          <w:rFonts w:ascii="仿宋" w:eastAsia="仿宋" w:hAnsi="仿宋" w:hint="eastAsia"/>
          <w:color w:val="000000" w:themeColor="text1"/>
          <w:sz w:val="32"/>
          <w:szCs w:val="32"/>
        </w:rPr>
        <w:t>财通资管双福</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个月持有期债券型发起式证券投资基金</w:t>
      </w:r>
    </w:p>
    <w:p w:rsidR="00C85F95" w:rsidRDefault="00F43353">
      <w:pPr>
        <w:spacing w:line="540" w:lineRule="exact"/>
        <w:ind w:leftChars="350" w:left="735"/>
        <w:rPr>
          <w:rFonts w:ascii="仿宋" w:eastAsia="仿宋" w:hAnsi="仿宋"/>
          <w:color w:val="000000" w:themeColor="text1"/>
          <w:sz w:val="32"/>
          <w:szCs w:val="32"/>
        </w:rPr>
      </w:pPr>
      <w:r>
        <w:rPr>
          <w:rFonts w:ascii="仿宋" w:eastAsia="仿宋" w:hAnsi="仿宋" w:hint="eastAsia"/>
          <w:color w:val="000000" w:themeColor="text1"/>
          <w:sz w:val="32"/>
          <w:szCs w:val="32"/>
        </w:rPr>
        <w:t>财通资管睿达一年定期开放债券型发起式证券投资基金财通资管稳兴丰益六个月持有期混合型证券投资基金</w:t>
      </w:r>
    </w:p>
    <w:p w:rsidR="00C85F95" w:rsidRDefault="00F43353">
      <w:pPr>
        <w:spacing w:line="540" w:lineRule="exact"/>
        <w:ind w:leftChars="350" w:left="735"/>
        <w:rPr>
          <w:rFonts w:ascii="仿宋" w:eastAsia="仿宋" w:hAnsi="仿宋"/>
          <w:color w:val="000000" w:themeColor="text1"/>
          <w:sz w:val="32"/>
          <w:szCs w:val="32"/>
        </w:rPr>
      </w:pPr>
      <w:r>
        <w:rPr>
          <w:rFonts w:ascii="仿宋" w:eastAsia="仿宋" w:hAnsi="仿宋" w:hint="eastAsia"/>
          <w:color w:val="000000" w:themeColor="text1"/>
          <w:sz w:val="32"/>
          <w:szCs w:val="32"/>
        </w:rPr>
        <w:t>财通资管通达未来</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C85F95" w:rsidRDefault="00F43353">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财通资管鸿慧中短债债券型发起式证券投资基金</w:t>
      </w:r>
    </w:p>
    <w:p w:rsidR="00C85F95" w:rsidRDefault="00F43353">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财通资管通达稳健</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个月持有期债券型发起式基金中基金（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C85F95" w:rsidRDefault="00F43353">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财通资管通达稳利</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个月持有期债券型发起式基金中基金（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bookmarkStart w:id="0" w:name="_GoBack"/>
      <w:bookmarkEnd w:id="0"/>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财通资管睿盈债券型证券投资基金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财通资管均衡臻选混合型证券投资基金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财通资管双安债券型证券投资基金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财通资管现金聚财货币市场基金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财通资管数字经济混合型发起式证券投资基金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财通资管臻享成长混合型证券投资基金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财通资管睿兴债券型证券投资基金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财通资管品质消费混合型发起式证券投资基金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财通资管博宏积极</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财通资管睿安债券型证券投资基金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财通资管医疗保健混合型证券投资基金</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财通资管康恒平衡养老目标三年持有期混合型发起式基金中基金（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）的</w:t>
      </w:r>
      <w:r>
        <w:rPr>
          <w:rFonts w:ascii="仿宋" w:eastAsia="仿宋" w:hAnsi="仿宋" w:hint="eastAsia"/>
          <w:color w:val="000000" w:themeColor="text1"/>
          <w:sz w:val="32"/>
          <w:szCs w:val="32"/>
        </w:rPr>
        <w:t>2023</w:t>
      </w:r>
      <w:r>
        <w:rPr>
          <w:rFonts w:ascii="仿宋" w:eastAsia="仿宋" w:hAnsi="仿宋" w:hint="eastAsia"/>
          <w:color w:val="000000" w:themeColor="text1"/>
          <w:sz w:val="32"/>
          <w:szCs w:val="32"/>
        </w:rPr>
        <w:t>年年度报告</w:t>
      </w:r>
      <w:r>
        <w:rPr>
          <w:rFonts w:ascii="仿宋" w:eastAsia="仿宋" w:hAnsi="仿宋"/>
          <w:color w:val="000000" w:themeColor="text1"/>
          <w:sz w:val="32"/>
          <w:szCs w:val="32"/>
        </w:rPr>
        <w:t>全文</w:t>
      </w:r>
      <w:r>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20</w:t>
      </w:r>
      <w:r>
        <w:rPr>
          <w:rFonts w:ascii="仿宋" w:eastAsia="仿宋" w:hAnsi="仿宋"/>
          <w:color w:val="000000" w:themeColor="text1"/>
          <w:sz w:val="32"/>
          <w:szCs w:val="32"/>
        </w:rPr>
        <w:t>2</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年</w:t>
      </w:r>
      <w:r>
        <w:rPr>
          <w:rFonts w:ascii="仿宋" w:eastAsia="仿宋" w:hAnsi="仿宋"/>
          <w:color w:val="000000" w:themeColor="text1"/>
          <w:sz w:val="32"/>
          <w:szCs w:val="32"/>
        </w:rPr>
        <w:t>3</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29</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r>
        <w:rPr>
          <w:rFonts w:ascii="仿宋" w:eastAsia="仿宋" w:hAnsi="仿宋"/>
          <w:color w:val="000000" w:themeColor="text1"/>
          <w:sz w:val="32"/>
          <w:szCs w:val="32"/>
        </w:rPr>
        <w:t>www.ctzg.com</w:t>
      </w:r>
      <w:r>
        <w:rPr>
          <w:rFonts w:ascii="仿宋" w:eastAsia="仿宋" w:hAnsi="仿宋" w:hint="eastAsia"/>
          <w:color w:val="000000" w:themeColor="text1"/>
          <w:sz w:val="32"/>
          <w:szCs w:val="32"/>
        </w:rPr>
        <w:t>)</w:t>
      </w:r>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hyperlink r:id="rId7" w:history="1">
        <w:r>
          <w:rPr>
            <w:rStyle w:val="a9"/>
            <w:rFonts w:ascii="仿宋" w:eastAsia="仿宋" w:hAnsi="仿宋" w:hint="eastAsia"/>
            <w:sz w:val="32"/>
            <w:szCs w:val="32"/>
          </w:rPr>
          <w:t>http://eid.csrc.gov.cn/fund</w:t>
        </w:r>
      </w:hyperlink>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如有疑问可拨打本公司客服电话（</w:t>
      </w:r>
      <w:r>
        <w:rPr>
          <w:rFonts w:ascii="仿宋" w:eastAsia="仿宋" w:hAnsi="仿宋" w:hint="eastAsia"/>
          <w:color w:val="000000" w:themeColor="text1"/>
          <w:sz w:val="32"/>
          <w:szCs w:val="32"/>
        </w:rPr>
        <w:t>400-116-7888</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C85F95" w:rsidRDefault="00F43353">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C85F95" w:rsidRDefault="00F43353">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C85F95" w:rsidRDefault="00C85F95">
      <w:pPr>
        <w:spacing w:line="540" w:lineRule="exact"/>
        <w:ind w:firstLineChars="200" w:firstLine="640"/>
        <w:rPr>
          <w:rFonts w:ascii="仿宋" w:eastAsia="仿宋" w:hAnsi="仿宋"/>
          <w:color w:val="000000" w:themeColor="text1"/>
          <w:sz w:val="32"/>
          <w:szCs w:val="32"/>
        </w:rPr>
      </w:pP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财通证券资产</w:t>
      </w:r>
      <w:r>
        <w:rPr>
          <w:rFonts w:ascii="仿宋" w:eastAsia="仿宋" w:hAnsi="仿宋" w:hint="eastAsia"/>
          <w:color w:val="000000" w:themeColor="text1"/>
          <w:sz w:val="32"/>
          <w:szCs w:val="32"/>
        </w:rPr>
        <w:t>管理有限公司</w:t>
      </w:r>
    </w:p>
    <w:p w:rsidR="00C85F95" w:rsidRDefault="00F433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w:t>
      </w:r>
      <w:r>
        <w:rPr>
          <w:rFonts w:ascii="仿宋" w:eastAsia="仿宋" w:hAnsi="仿宋"/>
          <w:color w:val="000000" w:themeColor="text1"/>
          <w:sz w:val="32"/>
          <w:szCs w:val="32"/>
        </w:rPr>
        <w:t>2</w:t>
      </w:r>
      <w:r>
        <w:rPr>
          <w:rFonts w:ascii="仿宋" w:eastAsia="仿宋" w:hAnsi="仿宋" w:hint="eastAsia"/>
          <w:color w:val="000000" w:themeColor="text1"/>
          <w:sz w:val="32"/>
          <w:szCs w:val="32"/>
        </w:rPr>
        <w:t>4</w:t>
      </w:r>
      <w:r>
        <w:rPr>
          <w:rFonts w:ascii="仿宋" w:eastAsia="仿宋" w:hAnsi="仿宋"/>
          <w:color w:val="000000" w:themeColor="text1"/>
          <w:sz w:val="32"/>
          <w:szCs w:val="32"/>
        </w:rPr>
        <w:t>年</w:t>
      </w:r>
      <w:r>
        <w:rPr>
          <w:rFonts w:ascii="仿宋" w:eastAsia="仿宋" w:hAnsi="仿宋"/>
          <w:color w:val="000000" w:themeColor="text1"/>
          <w:sz w:val="32"/>
          <w:szCs w:val="32"/>
        </w:rPr>
        <w:t>3</w:t>
      </w:r>
      <w:r>
        <w:rPr>
          <w:rFonts w:ascii="仿宋" w:eastAsia="仿宋" w:hAnsi="仿宋"/>
          <w:color w:val="000000" w:themeColor="text1"/>
          <w:sz w:val="32"/>
          <w:szCs w:val="32"/>
        </w:rPr>
        <w:t>月</w:t>
      </w:r>
      <w:r>
        <w:rPr>
          <w:rFonts w:ascii="仿宋" w:eastAsia="仿宋" w:hAnsi="仿宋" w:hint="eastAsia"/>
          <w:color w:val="000000" w:themeColor="text1"/>
          <w:sz w:val="32"/>
          <w:szCs w:val="32"/>
        </w:rPr>
        <w:t>29</w:t>
      </w:r>
      <w:r>
        <w:rPr>
          <w:rFonts w:ascii="仿宋" w:eastAsia="仿宋" w:hAnsi="仿宋"/>
          <w:color w:val="000000" w:themeColor="text1"/>
          <w:sz w:val="32"/>
          <w:szCs w:val="32"/>
        </w:rPr>
        <w:t>日</w:t>
      </w:r>
    </w:p>
    <w:sectPr w:rsidR="00C85F95" w:rsidSect="00C85F95">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95" w:rsidRDefault="00C85F95" w:rsidP="00C85F95">
      <w:r>
        <w:separator/>
      </w:r>
    </w:p>
  </w:endnote>
  <w:endnote w:type="continuationSeparator" w:id="0">
    <w:p w:rsidR="00C85F95" w:rsidRDefault="00C85F95" w:rsidP="00C85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C85F95" w:rsidRDefault="00C85F95">
        <w:pPr>
          <w:pStyle w:val="a5"/>
          <w:jc w:val="center"/>
        </w:pPr>
        <w:r>
          <w:fldChar w:fldCharType="begin"/>
        </w:r>
        <w:r w:rsidR="00F43353">
          <w:instrText>PAGE   \* MERGEFORMAT</w:instrText>
        </w:r>
        <w:r>
          <w:fldChar w:fldCharType="separate"/>
        </w:r>
        <w:r w:rsidR="00F43353" w:rsidRPr="00F43353">
          <w:rPr>
            <w:noProof/>
            <w:lang w:val="zh-CN"/>
          </w:rPr>
          <w:t>2</w:t>
        </w:r>
        <w:r>
          <w:fldChar w:fldCharType="end"/>
        </w:r>
      </w:p>
    </w:sdtContent>
  </w:sdt>
  <w:p w:rsidR="00C85F95" w:rsidRDefault="00C85F9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C85F95" w:rsidRDefault="00C85F95">
        <w:pPr>
          <w:pStyle w:val="a5"/>
          <w:jc w:val="center"/>
        </w:pPr>
        <w:r>
          <w:fldChar w:fldCharType="begin"/>
        </w:r>
        <w:r w:rsidR="00F43353">
          <w:instrText>PAGE   \* MERGEFORMAT</w:instrText>
        </w:r>
        <w:r>
          <w:fldChar w:fldCharType="separate"/>
        </w:r>
        <w:r w:rsidR="00F43353" w:rsidRPr="00F43353">
          <w:rPr>
            <w:noProof/>
            <w:lang w:val="zh-CN"/>
          </w:rPr>
          <w:t>1</w:t>
        </w:r>
        <w:r>
          <w:fldChar w:fldCharType="end"/>
        </w:r>
      </w:p>
    </w:sdtContent>
  </w:sdt>
  <w:p w:rsidR="00C85F95" w:rsidRDefault="00C85F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95" w:rsidRDefault="00C85F95" w:rsidP="00C85F95">
      <w:r>
        <w:separator/>
      </w:r>
    </w:p>
  </w:footnote>
  <w:footnote w:type="continuationSeparator" w:id="0">
    <w:p w:rsidR="00C85F95" w:rsidRDefault="00C85F95" w:rsidP="00C85F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RiOWU2YWFiNTI3ODViZmZmOGI5YjBlYjc5ZTkyOWIifQ=="/>
  </w:docVars>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2BFC"/>
    <w:rsid w:val="000A588E"/>
    <w:rsid w:val="000B53A5"/>
    <w:rsid w:val="000C06E1"/>
    <w:rsid w:val="000C1032"/>
    <w:rsid w:val="000D18EF"/>
    <w:rsid w:val="000E13E9"/>
    <w:rsid w:val="000E7D66"/>
    <w:rsid w:val="000F07E6"/>
    <w:rsid w:val="000F407E"/>
    <w:rsid w:val="000F6458"/>
    <w:rsid w:val="001039BC"/>
    <w:rsid w:val="00123055"/>
    <w:rsid w:val="001279BE"/>
    <w:rsid w:val="0013251E"/>
    <w:rsid w:val="0014022F"/>
    <w:rsid w:val="001445A9"/>
    <w:rsid w:val="00146307"/>
    <w:rsid w:val="001533B2"/>
    <w:rsid w:val="001623CF"/>
    <w:rsid w:val="00165D5C"/>
    <w:rsid w:val="00166B15"/>
    <w:rsid w:val="00174C8C"/>
    <w:rsid w:val="0017571E"/>
    <w:rsid w:val="00175AED"/>
    <w:rsid w:val="00182780"/>
    <w:rsid w:val="00191702"/>
    <w:rsid w:val="00192262"/>
    <w:rsid w:val="00193464"/>
    <w:rsid w:val="001A593B"/>
    <w:rsid w:val="001A72DA"/>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039B"/>
    <w:rsid w:val="002F2B53"/>
    <w:rsid w:val="00303860"/>
    <w:rsid w:val="00305DC1"/>
    <w:rsid w:val="00311075"/>
    <w:rsid w:val="003117E6"/>
    <w:rsid w:val="0031471A"/>
    <w:rsid w:val="00332619"/>
    <w:rsid w:val="00333802"/>
    <w:rsid w:val="003467B5"/>
    <w:rsid w:val="00355B7C"/>
    <w:rsid w:val="00361065"/>
    <w:rsid w:val="0036248F"/>
    <w:rsid w:val="00382BCB"/>
    <w:rsid w:val="0038653F"/>
    <w:rsid w:val="00391944"/>
    <w:rsid w:val="00393949"/>
    <w:rsid w:val="003948AF"/>
    <w:rsid w:val="00394BBC"/>
    <w:rsid w:val="003A4AC6"/>
    <w:rsid w:val="003A4B4A"/>
    <w:rsid w:val="003B7AD4"/>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1D9F"/>
    <w:rsid w:val="005158A6"/>
    <w:rsid w:val="0052094C"/>
    <w:rsid w:val="00534A41"/>
    <w:rsid w:val="0053650E"/>
    <w:rsid w:val="00542535"/>
    <w:rsid w:val="00544E6E"/>
    <w:rsid w:val="00547910"/>
    <w:rsid w:val="00551033"/>
    <w:rsid w:val="00560AC4"/>
    <w:rsid w:val="005618CF"/>
    <w:rsid w:val="00563FE4"/>
    <w:rsid w:val="00567A02"/>
    <w:rsid w:val="005711D9"/>
    <w:rsid w:val="005751C6"/>
    <w:rsid w:val="00582D8F"/>
    <w:rsid w:val="005837B0"/>
    <w:rsid w:val="00596AC1"/>
    <w:rsid w:val="005A408B"/>
    <w:rsid w:val="005A46AE"/>
    <w:rsid w:val="005A77EA"/>
    <w:rsid w:val="005B5746"/>
    <w:rsid w:val="005C00AF"/>
    <w:rsid w:val="005C7C95"/>
    <w:rsid w:val="005D052F"/>
    <w:rsid w:val="005D3C24"/>
    <w:rsid w:val="005D4528"/>
    <w:rsid w:val="005E088E"/>
    <w:rsid w:val="005E0F00"/>
    <w:rsid w:val="005F0140"/>
    <w:rsid w:val="005F4D9C"/>
    <w:rsid w:val="005F6D6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335D"/>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4FC1"/>
    <w:rsid w:val="00725827"/>
    <w:rsid w:val="00725F68"/>
    <w:rsid w:val="0073075C"/>
    <w:rsid w:val="007315E0"/>
    <w:rsid w:val="00731931"/>
    <w:rsid w:val="0074144B"/>
    <w:rsid w:val="00741A3E"/>
    <w:rsid w:val="007443C2"/>
    <w:rsid w:val="00756CAD"/>
    <w:rsid w:val="007629BB"/>
    <w:rsid w:val="00762A82"/>
    <w:rsid w:val="007703B8"/>
    <w:rsid w:val="00771227"/>
    <w:rsid w:val="00772D42"/>
    <w:rsid w:val="00774485"/>
    <w:rsid w:val="00775751"/>
    <w:rsid w:val="00780A24"/>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1F41"/>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2B9"/>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5F95"/>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CF7D37"/>
    <w:rsid w:val="00D10B1F"/>
    <w:rsid w:val="00D11E1F"/>
    <w:rsid w:val="00D20C81"/>
    <w:rsid w:val="00D30D61"/>
    <w:rsid w:val="00D3262F"/>
    <w:rsid w:val="00D361FE"/>
    <w:rsid w:val="00D36E74"/>
    <w:rsid w:val="00D42F13"/>
    <w:rsid w:val="00D43B3D"/>
    <w:rsid w:val="00D4761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05C6B"/>
    <w:rsid w:val="00E11D7D"/>
    <w:rsid w:val="00E1254C"/>
    <w:rsid w:val="00E16895"/>
    <w:rsid w:val="00E32614"/>
    <w:rsid w:val="00E33250"/>
    <w:rsid w:val="00E3526B"/>
    <w:rsid w:val="00E5059C"/>
    <w:rsid w:val="00E54C06"/>
    <w:rsid w:val="00E5664A"/>
    <w:rsid w:val="00E7407A"/>
    <w:rsid w:val="00E81A0A"/>
    <w:rsid w:val="00E964F7"/>
    <w:rsid w:val="00EA259F"/>
    <w:rsid w:val="00EA6F84"/>
    <w:rsid w:val="00EB1D22"/>
    <w:rsid w:val="00EB7931"/>
    <w:rsid w:val="00ED548C"/>
    <w:rsid w:val="00ED7F3F"/>
    <w:rsid w:val="00EF043C"/>
    <w:rsid w:val="00EF49B3"/>
    <w:rsid w:val="00EF56E1"/>
    <w:rsid w:val="00EF73FD"/>
    <w:rsid w:val="00F00561"/>
    <w:rsid w:val="00F01150"/>
    <w:rsid w:val="00F01E3D"/>
    <w:rsid w:val="00F04DC2"/>
    <w:rsid w:val="00F066D9"/>
    <w:rsid w:val="00F25F52"/>
    <w:rsid w:val="00F43353"/>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139F51D9"/>
    <w:rsid w:val="2E0477DE"/>
    <w:rsid w:val="4AE9130C"/>
    <w:rsid w:val="7C833A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C85F9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rsid w:val="00C85F95"/>
    <w:pPr>
      <w:jc w:val="left"/>
    </w:pPr>
  </w:style>
  <w:style w:type="paragraph" w:styleId="a4">
    <w:name w:val="Balloon Text"/>
    <w:basedOn w:val="a"/>
    <w:link w:val="Char0"/>
    <w:uiPriority w:val="99"/>
    <w:semiHidden/>
    <w:unhideWhenUsed/>
    <w:rsid w:val="00C85F95"/>
    <w:rPr>
      <w:sz w:val="18"/>
      <w:szCs w:val="18"/>
    </w:rPr>
  </w:style>
  <w:style w:type="paragraph" w:styleId="a5">
    <w:name w:val="footer"/>
    <w:basedOn w:val="a"/>
    <w:link w:val="Char1"/>
    <w:autoRedefine/>
    <w:uiPriority w:val="99"/>
    <w:unhideWhenUsed/>
    <w:qFormat/>
    <w:rsid w:val="00C85F95"/>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rsid w:val="00C85F95"/>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autoRedefine/>
    <w:uiPriority w:val="99"/>
    <w:semiHidden/>
    <w:unhideWhenUsed/>
    <w:qFormat/>
    <w:rsid w:val="00C85F95"/>
    <w:pPr>
      <w:snapToGrid w:val="0"/>
      <w:jc w:val="left"/>
    </w:pPr>
    <w:rPr>
      <w:sz w:val="18"/>
      <w:szCs w:val="18"/>
    </w:rPr>
  </w:style>
  <w:style w:type="paragraph" w:styleId="a8">
    <w:name w:val="annotation subject"/>
    <w:basedOn w:val="a3"/>
    <w:next w:val="a3"/>
    <w:link w:val="Char4"/>
    <w:autoRedefine/>
    <w:uiPriority w:val="99"/>
    <w:semiHidden/>
    <w:unhideWhenUsed/>
    <w:qFormat/>
    <w:rsid w:val="00C85F95"/>
    <w:rPr>
      <w:b/>
      <w:bCs/>
    </w:rPr>
  </w:style>
  <w:style w:type="character" w:styleId="a9">
    <w:name w:val="Hyperlink"/>
    <w:basedOn w:val="a0"/>
    <w:autoRedefine/>
    <w:uiPriority w:val="99"/>
    <w:unhideWhenUsed/>
    <w:qFormat/>
    <w:rsid w:val="00C85F95"/>
    <w:rPr>
      <w:color w:val="0000FF" w:themeColor="hyperlink"/>
      <w:u w:val="single"/>
    </w:rPr>
  </w:style>
  <w:style w:type="character" w:styleId="aa">
    <w:name w:val="annotation reference"/>
    <w:basedOn w:val="a0"/>
    <w:autoRedefine/>
    <w:uiPriority w:val="99"/>
    <w:semiHidden/>
    <w:unhideWhenUsed/>
    <w:qFormat/>
    <w:rsid w:val="00C85F95"/>
    <w:rPr>
      <w:sz w:val="21"/>
      <w:szCs w:val="21"/>
    </w:rPr>
  </w:style>
  <w:style w:type="character" w:styleId="ab">
    <w:name w:val="footnote reference"/>
    <w:basedOn w:val="a0"/>
    <w:autoRedefine/>
    <w:uiPriority w:val="99"/>
    <w:semiHidden/>
    <w:unhideWhenUsed/>
    <w:qFormat/>
    <w:rsid w:val="00C85F95"/>
    <w:rPr>
      <w:vertAlign w:val="superscript"/>
    </w:rPr>
  </w:style>
  <w:style w:type="character" w:customStyle="1" w:styleId="Char2">
    <w:name w:val="页眉 Char"/>
    <w:basedOn w:val="a0"/>
    <w:link w:val="a6"/>
    <w:autoRedefine/>
    <w:uiPriority w:val="99"/>
    <w:qFormat/>
    <w:rsid w:val="00C85F95"/>
    <w:rPr>
      <w:sz w:val="18"/>
      <w:szCs w:val="18"/>
    </w:rPr>
  </w:style>
  <w:style w:type="character" w:customStyle="1" w:styleId="Char1">
    <w:name w:val="页脚 Char"/>
    <w:basedOn w:val="a0"/>
    <w:link w:val="a5"/>
    <w:autoRedefine/>
    <w:uiPriority w:val="99"/>
    <w:qFormat/>
    <w:rsid w:val="00C85F95"/>
    <w:rPr>
      <w:sz w:val="18"/>
      <w:szCs w:val="18"/>
    </w:rPr>
  </w:style>
  <w:style w:type="paragraph" w:styleId="ac">
    <w:name w:val="List Paragraph"/>
    <w:basedOn w:val="a"/>
    <w:autoRedefine/>
    <w:uiPriority w:val="34"/>
    <w:qFormat/>
    <w:rsid w:val="00C85F95"/>
    <w:pPr>
      <w:ind w:firstLineChars="200" w:firstLine="420"/>
    </w:pPr>
  </w:style>
  <w:style w:type="character" w:customStyle="1" w:styleId="Char0">
    <w:name w:val="批注框文本 Char"/>
    <w:basedOn w:val="a0"/>
    <w:link w:val="a4"/>
    <w:autoRedefine/>
    <w:uiPriority w:val="99"/>
    <w:semiHidden/>
    <w:qFormat/>
    <w:rsid w:val="00C85F95"/>
    <w:rPr>
      <w:sz w:val="18"/>
      <w:szCs w:val="18"/>
    </w:rPr>
  </w:style>
  <w:style w:type="character" w:customStyle="1" w:styleId="Char">
    <w:name w:val="批注文字 Char"/>
    <w:basedOn w:val="a0"/>
    <w:link w:val="a3"/>
    <w:autoRedefine/>
    <w:uiPriority w:val="99"/>
    <w:semiHidden/>
    <w:qFormat/>
    <w:rsid w:val="00C85F95"/>
  </w:style>
  <w:style w:type="character" w:customStyle="1" w:styleId="Char4">
    <w:name w:val="批注主题 Char"/>
    <w:basedOn w:val="Char"/>
    <w:link w:val="a8"/>
    <w:autoRedefine/>
    <w:uiPriority w:val="99"/>
    <w:semiHidden/>
    <w:qFormat/>
    <w:rsid w:val="00C85F95"/>
    <w:rPr>
      <w:b/>
      <w:bCs/>
    </w:rPr>
  </w:style>
  <w:style w:type="character" w:customStyle="1" w:styleId="Char3">
    <w:name w:val="脚注文本 Char"/>
    <w:basedOn w:val="a0"/>
    <w:link w:val="a7"/>
    <w:autoRedefine/>
    <w:uiPriority w:val="99"/>
    <w:semiHidden/>
    <w:qFormat/>
    <w:rsid w:val="00C85F9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EB626-EBA8-471D-A725-3B1526DF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1540</Characters>
  <Application>Microsoft Office Word</Application>
  <DocSecurity>4</DocSecurity>
  <Lines>12</Lines>
  <Paragraphs>3</Paragraphs>
  <ScaleCrop>false</ScaleCrop>
  <Company>Microsoft</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2024-03-28T16:05:00Z</dcterms:created>
  <dcterms:modified xsi:type="dcterms:W3CDTF">2024-03-28T16:05:00Z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C131CEAEAF4D4A289ECB00B6A3B48427_12</vt:lpwstr>
  </property>
</Properties>
</file>