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004D" w:rsidRDefault="00C5004D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C5004D" w:rsidRDefault="00C5004D">
      <w:pPr>
        <w:jc w:val="center"/>
      </w:pPr>
      <w:r>
        <w:rPr>
          <w:rFonts w:cs="Times New Roman" w:hint="eastAsia"/>
          <w:b/>
          <w:sz w:val="48"/>
          <w:szCs w:val="48"/>
        </w:rPr>
        <w:t>长城久稳债券型证券投资基金调整申购、转换转入、定期定额投资限额公告</w:t>
      </w:r>
    </w:p>
    <w:p w:rsidR="00C5004D" w:rsidRDefault="00C5004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004D" w:rsidRDefault="00C5004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004D" w:rsidRDefault="00C5004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004D" w:rsidRDefault="00C5004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004D" w:rsidRDefault="00C5004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004D" w:rsidRDefault="00C5004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004D" w:rsidRDefault="00C5004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004D" w:rsidRDefault="00C5004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004D" w:rsidRDefault="00C5004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004D" w:rsidRDefault="00C5004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004D" w:rsidRDefault="00C5004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004D" w:rsidRDefault="00C5004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004D" w:rsidRDefault="00C5004D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C5004D" w:rsidRDefault="00C5004D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公告送出日期：2024年3月29日</w:t>
      </w:r>
    </w:p>
    <w:p w:rsidR="00C5004D" w:rsidRDefault="00C5004D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b w:val="0"/>
          <w:bCs w:val="0"/>
          <w:color w:val="404040"/>
          <w:kern w:val="0"/>
        </w:rPr>
        <w:br w:type="page"/>
      </w: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_Toc194311890"/>
      <w:bookmarkStart w:id="11" w:name="m01_01"/>
      <w:bookmarkStart w:id="12" w:name="m101"/>
      <w:proofErr w:type="spellStart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spellEnd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5"/>
        <w:gridCol w:w="1697"/>
        <w:gridCol w:w="2126"/>
        <w:gridCol w:w="2126"/>
        <w:gridCol w:w="2007"/>
      </w:tblGrid>
      <w:tr w:rsidR="00C5004D" w:rsidTr="00A95E6B">
        <w:trPr>
          <w:divId w:val="171850920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ascii="Calibri" w:hAnsi="Calibri" w:hint="eastAsia"/>
              </w:rPr>
              <w:t>基金名称</w:t>
            </w:r>
          </w:p>
        </w:tc>
        <w:tc>
          <w:tcPr>
            <w:tcW w:w="6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长城久稳债券型证券投资基金</w:t>
            </w:r>
          </w:p>
        </w:tc>
      </w:tr>
      <w:tr w:rsidR="00C5004D" w:rsidTr="00A95E6B">
        <w:trPr>
          <w:divId w:val="171850920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 xml:space="preserve">基金简称 </w:t>
            </w:r>
          </w:p>
        </w:tc>
        <w:tc>
          <w:tcPr>
            <w:tcW w:w="6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长城久稳债券</w:t>
            </w:r>
          </w:p>
        </w:tc>
      </w:tr>
      <w:tr w:rsidR="00C5004D" w:rsidTr="00A95E6B">
        <w:trPr>
          <w:divId w:val="171850920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 xml:space="preserve">基金主代码 </w:t>
            </w:r>
          </w:p>
        </w:tc>
        <w:tc>
          <w:tcPr>
            <w:tcW w:w="6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003290</w:t>
            </w:r>
          </w:p>
        </w:tc>
      </w:tr>
      <w:tr w:rsidR="00C5004D" w:rsidTr="00A95E6B">
        <w:trPr>
          <w:divId w:val="171850920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6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长城基金管理有限公司</w:t>
            </w:r>
          </w:p>
        </w:tc>
      </w:tr>
      <w:tr w:rsidR="00C5004D" w:rsidTr="00A95E6B">
        <w:trPr>
          <w:divId w:val="171850920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ascii="Calibri" w:hAnsi="Calibri" w:hint="eastAsia"/>
              </w:rPr>
              <w:t>公告依据</w:t>
            </w:r>
          </w:p>
        </w:tc>
        <w:tc>
          <w:tcPr>
            <w:tcW w:w="6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《公开募集证券投资基金信息披露管理办法》、《长城久稳债券型证券投资基金基金合同》、《长城久稳债券型证券投资基金招募说明书》</w:t>
            </w:r>
          </w:p>
        </w:tc>
      </w:tr>
      <w:tr w:rsidR="00C5004D" w:rsidTr="00A95E6B">
        <w:trPr>
          <w:divId w:val="1718509202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6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2024年3月29日</w:t>
            </w:r>
          </w:p>
        </w:tc>
      </w:tr>
      <w:tr w:rsidR="00C5004D" w:rsidTr="00A95E6B">
        <w:trPr>
          <w:divId w:val="1718509202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4D" w:rsidRDefault="00C5004D">
            <w:pPr>
              <w:widowControl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6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2024年3月29日</w:t>
            </w:r>
          </w:p>
        </w:tc>
      </w:tr>
      <w:tr w:rsidR="00C5004D" w:rsidTr="00A95E6B">
        <w:trPr>
          <w:divId w:val="1718509202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04D" w:rsidRDefault="00C5004D">
            <w:pPr>
              <w:widowControl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ascii="Calibri" w:hAnsi="Calibri" w:hint="eastAsia"/>
              </w:rPr>
              <w:t>暂停大额申购、大额转换转入的原因说明</w:t>
            </w:r>
          </w:p>
        </w:tc>
        <w:tc>
          <w:tcPr>
            <w:tcW w:w="6259" w:type="dxa"/>
            <w:gridSpan w:val="3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为保证基金的稳定运作，保护基金份额持有人利益。</w:t>
            </w:r>
          </w:p>
        </w:tc>
      </w:tr>
      <w:tr w:rsidR="00C5004D" w:rsidTr="00A95E6B">
        <w:trPr>
          <w:divId w:val="171850920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212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长城久稳债券A</w:t>
            </w:r>
          </w:p>
        </w:tc>
        <w:tc>
          <w:tcPr>
            <w:tcW w:w="212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长城久稳债券C</w:t>
            </w:r>
          </w:p>
        </w:tc>
        <w:tc>
          <w:tcPr>
            <w:tcW w:w="2007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长城久稳债券D</w:t>
            </w:r>
          </w:p>
        </w:tc>
      </w:tr>
      <w:tr w:rsidR="00C5004D" w:rsidTr="00A95E6B">
        <w:trPr>
          <w:divId w:val="171850920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212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003290</w:t>
            </w:r>
          </w:p>
        </w:tc>
        <w:tc>
          <w:tcPr>
            <w:tcW w:w="212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012566</w:t>
            </w:r>
          </w:p>
        </w:tc>
        <w:tc>
          <w:tcPr>
            <w:tcW w:w="2007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012567</w:t>
            </w:r>
          </w:p>
        </w:tc>
      </w:tr>
      <w:tr w:rsidR="00C5004D" w:rsidTr="00A95E6B">
        <w:trPr>
          <w:divId w:val="171850920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ascii="Calibri" w:hAnsi="Calibri" w:hint="eastAsia"/>
              </w:rPr>
              <w:t>该分级基金是否暂停大额申购、大额转换转入</w:t>
            </w:r>
          </w:p>
        </w:tc>
        <w:tc>
          <w:tcPr>
            <w:tcW w:w="212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是</w:t>
            </w:r>
          </w:p>
        </w:tc>
        <w:tc>
          <w:tcPr>
            <w:tcW w:w="212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是</w:t>
            </w:r>
          </w:p>
        </w:tc>
        <w:tc>
          <w:tcPr>
            <w:tcW w:w="2007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否</w:t>
            </w:r>
          </w:p>
        </w:tc>
      </w:tr>
      <w:tr w:rsidR="00C5004D" w:rsidTr="00A95E6B">
        <w:trPr>
          <w:divId w:val="171850920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212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5,000.00</w:t>
            </w:r>
          </w:p>
        </w:tc>
        <w:tc>
          <w:tcPr>
            <w:tcW w:w="2126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5,000.00</w:t>
            </w:r>
          </w:p>
        </w:tc>
        <w:tc>
          <w:tcPr>
            <w:tcW w:w="2007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-</w:t>
            </w:r>
          </w:p>
        </w:tc>
      </w:tr>
      <w:tr w:rsidR="00C5004D" w:rsidTr="00A95E6B">
        <w:trPr>
          <w:divId w:val="171850920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2126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5,000.00</w:t>
            </w:r>
          </w:p>
        </w:tc>
        <w:tc>
          <w:tcPr>
            <w:tcW w:w="2126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5,000.00</w:t>
            </w:r>
          </w:p>
        </w:tc>
        <w:tc>
          <w:tcPr>
            <w:tcW w:w="2007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04D" w:rsidRDefault="00C5004D">
            <w:pPr>
              <w:rPr>
                <w:rFonts w:hint="eastAsia"/>
              </w:rPr>
            </w:pPr>
            <w:r w:rsidRPr="00320D53">
              <w:rPr>
                <w:rFonts w:hint="eastAsia"/>
              </w:rPr>
              <w:t>-</w:t>
            </w:r>
          </w:p>
        </w:tc>
      </w:tr>
    </w:tbl>
    <w:p w:rsidR="00C5004D" w:rsidRDefault="00C5004D">
      <w:pPr>
        <w:adjustRightInd w:val="0"/>
        <w:snapToGrid w:val="0"/>
        <w:spacing w:line="360" w:lineRule="auto"/>
        <w:jc w:val="left"/>
        <w:divId w:val="1718509202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(1)各类基金份额的申购限额分别计算。</w:t>
      </w:r>
      <w:r>
        <w:rPr>
          <w:rFonts w:hint="eastAsia"/>
          <w:szCs w:val="24"/>
          <w:lang/>
        </w:rPr>
        <w:br/>
        <w:t xml:space="preserve">　　(2)申购业务含定期定额投资。</w:t>
      </w:r>
      <w:r>
        <w:rPr>
          <w:rFonts w:hint="eastAsia"/>
          <w:szCs w:val="24"/>
        </w:rPr>
        <w:t xml:space="preserve"> </w:t>
      </w:r>
    </w:p>
    <w:p w:rsidR="00C5004D" w:rsidRDefault="00C5004D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34322063"/>
      <w:bookmarkStart w:id="14" w:name="_Toc513295941"/>
      <w:bookmarkStart w:id="15" w:name="_Toc513295878"/>
      <w:bookmarkStart w:id="16" w:name="_Toc438646481"/>
      <w:bookmarkStart w:id="17" w:name="_Toc481075097"/>
      <w:bookmarkStart w:id="18" w:name="_Toc490050049"/>
      <w:bookmarkStart w:id="19" w:name="_Toc512519529"/>
      <w:bookmarkStart w:id="20" w:name="_Toc17897969"/>
      <w:bookmarkStart w:id="21" w:name="_Toc17898228"/>
      <w:bookmarkStart w:id="22" w:name="m201_01"/>
      <w:proofErr w:type="spellStart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proofErr w:type="spellEnd"/>
      <w:r>
        <w:rPr>
          <w:rFonts w:hAnsi="宋体" w:hint="eastAsia"/>
          <w:szCs w:val="24"/>
        </w:rPr>
        <w:t xml:space="preserve"> </w:t>
      </w:r>
    </w:p>
    <w:p w:rsidR="00C5004D" w:rsidRDefault="00C5004D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（1）自2024年3月29日起，本基金A类、C类基金份额调整申购业务限额，具体如下：</w:t>
      </w:r>
      <w:r>
        <w:rPr>
          <w:rFonts w:hint="eastAsia"/>
          <w:szCs w:val="21"/>
        </w:rPr>
        <w:br/>
        <w:t xml:space="preserve">　　单日每个基金账户对本基金A类、C类单一基金份额的累计申购（含转换转入、定期定额投资，下同）金额均不得超过5000元。若单日每个基金账户对本基金A类、C类单一基金份额的累计申购金额超过5000元（不含5000元），本基金管理人有权拒绝。</w:t>
      </w:r>
      <w:r>
        <w:rPr>
          <w:rFonts w:hint="eastAsia"/>
          <w:szCs w:val="21"/>
        </w:rPr>
        <w:br/>
        <w:t xml:space="preserve">　　（2）投资者可通过以下方式咨询详情：长城基金管理有限公司客户服务热线400-8868-666，网站www.ccfund.com.cn。</w:t>
      </w:r>
    </w:p>
    <w:p w:rsidR="00C5004D" w:rsidRDefault="00C5004D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C5004D" w:rsidRDefault="00C5004D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C5004D" w:rsidRDefault="00C5004D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长城基金管理有限公司</w:t>
      </w:r>
    </w:p>
    <w:p w:rsidR="00C5004D" w:rsidRDefault="00C5004D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2024年3月29日</w:t>
      </w:r>
      <w:bookmarkEnd w:id="22"/>
      <w:r>
        <w:rPr>
          <w:rFonts w:hint="eastAsia"/>
          <w:b/>
          <w:bCs/>
          <w:sz w:val="24"/>
          <w:szCs w:val="24"/>
        </w:rPr>
        <w:t xml:space="preserve"> </w:t>
      </w:r>
    </w:p>
    <w:sectPr w:rsidR="00C5004D"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53"/>
    <w:rsid w:val="00320D53"/>
    <w:rsid w:val="009533AA"/>
    <w:rsid w:val="00A95E6B"/>
    <w:rsid w:val="00C5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28D1-8CA8-4DD5-9CD1-117694C7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4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2024-03-28T16:03:00Z</dcterms:created>
  <dcterms:modified xsi:type="dcterms:W3CDTF">2024-03-28T16:03:00Z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