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745155" w:rsidRDefault="00E6705B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摩根基金管理（中国）有限公司</w:t>
      </w:r>
      <w:r w:rsidR="005E088E"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旗下部分基金</w:t>
      </w:r>
    </w:p>
    <w:p w:rsidR="00BB3501" w:rsidRPr="00745155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</w:pPr>
      <w:r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20</w:t>
      </w:r>
      <w:r w:rsidR="008C2E6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2</w:t>
      </w:r>
      <w:r w:rsidR="00E6705B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3</w:t>
      </w:r>
      <w:r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年</w:t>
      </w:r>
      <w:r w:rsidR="008C2E6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1"/>
        </w:rPr>
        <w:t>年度</w:t>
      </w:r>
      <w:r w:rsidR="00BB3501" w:rsidRPr="00745155">
        <w:rPr>
          <w:rFonts w:ascii="Times New Roman" w:eastAsia="宋体" w:hAnsi="Times New Roman" w:cs="Times New Roman"/>
          <w:b/>
          <w:color w:val="000000" w:themeColor="text1"/>
          <w:sz w:val="24"/>
          <w:szCs w:val="21"/>
        </w:rPr>
        <w:t>报告提示性公告</w:t>
      </w:r>
    </w:p>
    <w:p w:rsidR="00B16987" w:rsidRPr="00745155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</w:p>
    <w:p w:rsidR="00BB3501" w:rsidRPr="00745155" w:rsidRDefault="00B16987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本公司董事会及董事保证基金</w:t>
      </w:r>
      <w:r w:rsidR="00022DDA">
        <w:rPr>
          <w:rFonts w:ascii="Times New Roman" w:eastAsia="宋体" w:hAnsi="Times New Roman" w:cs="Times New Roman"/>
          <w:color w:val="000000" w:themeColor="text1"/>
          <w:szCs w:val="21"/>
        </w:rPr>
        <w:t>202</w:t>
      </w:r>
      <w:r w:rsidR="00E6705B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8C2E65">
        <w:rPr>
          <w:rFonts w:ascii="Times New Roman" w:eastAsia="宋体" w:hAnsi="Times New Roman" w:cs="Times New Roman" w:hint="eastAsia"/>
          <w:color w:val="000000" w:themeColor="text1"/>
          <w:szCs w:val="21"/>
        </w:rPr>
        <w:t>年度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报告</w:t>
      </w: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745155" w:rsidRDefault="001D6B7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本</w:t>
      </w:r>
      <w:r w:rsidR="002C4CBA" w:rsidRPr="00745155">
        <w:rPr>
          <w:rFonts w:ascii="Times New Roman" w:eastAsia="宋体" w:hAnsi="Times New Roman" w:cs="Times New Roman"/>
          <w:color w:val="000000" w:themeColor="text1"/>
          <w:szCs w:val="21"/>
        </w:rPr>
        <w:t>公司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旗下</w:t>
      </w:r>
      <w:r w:rsidR="00E6705B">
        <w:rPr>
          <w:rFonts w:ascii="Times New Roman" w:eastAsia="宋体" w:hAnsi="Times New Roman" w:cs="Times New Roman"/>
          <w:color w:val="000000" w:themeColor="text1"/>
          <w:szCs w:val="21"/>
        </w:rPr>
        <w:t>92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只基金（具体基金名称请见附表）的</w:t>
      </w:r>
      <w:r w:rsidR="00AB45CC" w:rsidRPr="00745155">
        <w:rPr>
          <w:rFonts w:ascii="Times New Roman" w:eastAsia="宋体" w:hAnsi="Times New Roman" w:cs="Times New Roman"/>
          <w:color w:val="000000" w:themeColor="text1"/>
          <w:szCs w:val="21"/>
        </w:rPr>
        <w:t>202</w:t>
      </w:r>
      <w:r w:rsidR="00E6705B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AB45CC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8C2E65">
        <w:rPr>
          <w:rFonts w:ascii="Times New Roman" w:eastAsia="宋体" w:hAnsi="Times New Roman" w:cs="Times New Roman" w:hint="eastAsia"/>
          <w:color w:val="000000" w:themeColor="text1"/>
          <w:szCs w:val="21"/>
        </w:rPr>
        <w:t>年度</w:t>
      </w:r>
      <w:r w:rsidR="00AB45CC" w:rsidRPr="00745155">
        <w:rPr>
          <w:rFonts w:ascii="Times New Roman" w:eastAsia="宋体" w:hAnsi="Times New Roman" w:cs="Times New Roman"/>
          <w:color w:val="000000" w:themeColor="text1"/>
          <w:szCs w:val="21"/>
        </w:rPr>
        <w:t>报告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全文于</w:t>
      </w:r>
      <w:r w:rsidR="008C2E65">
        <w:rPr>
          <w:rFonts w:ascii="Times New Roman" w:eastAsia="宋体" w:hAnsi="Times New Roman" w:cs="Times New Roman"/>
          <w:color w:val="000000" w:themeColor="text1"/>
          <w:szCs w:val="21"/>
        </w:rPr>
        <w:t>202</w:t>
      </w:r>
      <w:r w:rsidR="00E6705B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8C2E65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月</w:t>
      </w:r>
      <w:r w:rsidR="00E6705B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="00CD0405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日在本公司网站（</w:t>
      </w:r>
      <w:r w:rsidR="00E6705B">
        <w:rPr>
          <w:rFonts w:ascii="Times New Roman" w:eastAsia="宋体" w:hAnsi="Times New Roman" w:cs="Times New Roman"/>
          <w:color w:val="000000" w:themeColor="text1"/>
          <w:szCs w:val="21"/>
        </w:rPr>
        <w:t>am.jpmorgan.com/cn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）和中国证监会基金电子披露网站（</w:t>
      </w:r>
      <w:hyperlink r:id="rId8" w:history="1">
        <w:r w:rsidR="003A5D29" w:rsidRPr="00745155">
          <w:rPr>
            <w:rStyle w:val="a7"/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）披露，供投资者查阅。如有疑问可拨打本公司客服电话（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400-889-4888</w:t>
      </w:r>
      <w:r w:rsidR="003A5D29" w:rsidRPr="00745155">
        <w:rPr>
          <w:rFonts w:ascii="Times New Roman" w:eastAsia="宋体" w:hAnsi="Times New Roman" w:cs="Times New Roman"/>
          <w:color w:val="000000" w:themeColor="text1"/>
          <w:szCs w:val="21"/>
        </w:rPr>
        <w:t>）咨询。</w:t>
      </w:r>
    </w:p>
    <w:p w:rsidR="003A5D29" w:rsidRPr="00745155" w:rsidRDefault="003A5D29" w:rsidP="003A5D2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5D29" w:rsidRPr="00745155" w:rsidRDefault="003A5D29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附表：</w:t>
      </w:r>
    </w:p>
    <w:tbl>
      <w:tblPr>
        <w:tblW w:w="8040" w:type="dxa"/>
        <w:tblInd w:w="-10" w:type="dxa"/>
        <w:tblLook w:val="04A0"/>
      </w:tblPr>
      <w:tblGrid>
        <w:gridCol w:w="426"/>
        <w:gridCol w:w="7614"/>
      </w:tblGrid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摩根中国优势证券投资基金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摩根货币市场基金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摩根阿尔法混合型证券投资基金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摩根双息平衡混合型证券投资基金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摩根成长先锋混合型证券投资基金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摩根内需动力混合型证券投资基金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摩根亚太优势混合型证券投资基金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摩根双核平衡混合型证券投资基金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摩根中小盘混合型证券投资基金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摩根纯债债券型证券投资基金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摩根行业轮动混合型证券投资基金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摩根大盘蓝筹股票型证券投资基金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摩根全球新兴市场混合型证券投资基金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摩根新兴动力混合型证券投资基金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摩根强化回报债券型证券投资基金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摩根健康品质生活混合型证券投资基金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摩根全球天然资源混合型证券投资基金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摩根核心优选混合型证券投资基金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摩根智选</w:t>
            </w:r>
            <w:r w:rsidRPr="00F93FFB">
              <w:rPr>
                <w:rFonts w:hint="eastAsia"/>
              </w:rPr>
              <w:t>30</w:t>
            </w:r>
            <w:r w:rsidRPr="00F93FFB">
              <w:rPr>
                <w:rFonts w:hint="eastAsia"/>
              </w:rPr>
              <w:t>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摩根成长动力混合型证券投资基金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摩根转型动力灵活配置混合型证券投资基金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摩根双债增利债券型证券投资基金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摩根核心成长股票型证券投资基金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摩根民生需求股票型证券投资基金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摩根纯债丰利债券型证券投资基金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摩根天添盈货币市场基金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摩根天添宝货币市场基金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摩根安全战略股票型证券投资基金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摩根卓越制造股票型证券投资基金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摩根整合驱动灵活配置混合型证券投资基金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摩根动态多因子策略灵活配置混合型证券投资基金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摩根智慧互联股票型证券投资基金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摩根科技前沿灵活配置混合型证券投资基金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摩根新兴服务股票型证券投资基金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摩根医疗健康股票型证券投资基金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摩根中国世纪灵活配置混合型证券投资基金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摩根全球多元配置证券投资基金</w:t>
            </w:r>
            <w:r w:rsidRPr="00F93FFB">
              <w:rPr>
                <w:rFonts w:hint="eastAsia"/>
              </w:rPr>
              <w:t>(QDII-FOF)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摩根安通回报混合型证券投资基金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摩根丰瑞债券型证券投资基金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摩根标普港股通低波红利指数型证券投资基金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摩根量化多因子灵活配置混合型证券投资基金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摩根安隆回报混合型证券投资基金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摩根创新商业模式灵活配置混合型证券投资基金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摩根富时发达市场</w:t>
            </w:r>
            <w:r w:rsidRPr="00F93FFB">
              <w:rPr>
                <w:rFonts w:hint="eastAsia"/>
              </w:rPr>
              <w:t>REITs</w:t>
            </w:r>
            <w:r w:rsidRPr="00F93FFB">
              <w:rPr>
                <w:rFonts w:hint="eastAsia"/>
              </w:rPr>
              <w:t>指数型证券投资基金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摩根香港精选港股通混合型证券投资基金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摩根尚睿混合型基金中基金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摩根安裕回报混合型证券投资基金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摩根欧洲动力策略股票型证券投资基金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摩根核心精选股票型证券投资基金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摩根动力精选混合型证券投资基金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摩根中国生物医药混合型证券投资基金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摩根领先优选混合型证券投资基金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摩根日本精选股票型证券投资基金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摩根锦程均衡养老目标三年持有期混合型基金中基金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摩根瑞益纯债债券型证券投资基金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摩根慧选成长股票型证券投资基金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摩根瑞泰</w:t>
            </w:r>
            <w:r w:rsidRPr="00F93FFB">
              <w:rPr>
                <w:rFonts w:hint="eastAsia"/>
              </w:rPr>
              <w:t>38</w:t>
            </w:r>
            <w:r w:rsidRPr="00F93FFB">
              <w:rPr>
                <w:rFonts w:hint="eastAsia"/>
              </w:rPr>
              <w:t>个月定期开放债券型证券投资基金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摩根锦程稳健养老目标一年持有期混合型基金中基金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</w:t>
            </w:r>
            <w:r w:rsidRPr="00F93FFB">
              <w:rPr>
                <w:rFonts w:hint="eastAsia"/>
              </w:rPr>
              <w:t>MSCI</w:t>
            </w:r>
            <w:r w:rsidRPr="00F93FFB">
              <w:rPr>
                <w:rFonts w:hint="eastAsia"/>
              </w:rPr>
              <w:t>中国</w:t>
            </w:r>
            <w:r w:rsidRPr="00F93FFB">
              <w:rPr>
                <w:rFonts w:hint="eastAsia"/>
              </w:rPr>
              <w:t>A</w:t>
            </w:r>
            <w:r w:rsidRPr="00F93FFB">
              <w:rPr>
                <w:rFonts w:hint="eastAsia"/>
              </w:rPr>
              <w:t>股交易型开放式指数证券投资基金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摩根研究驱动股票型证券投资基金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</w:t>
            </w:r>
            <w:r w:rsidRPr="00F93FFB">
              <w:rPr>
                <w:rFonts w:hint="eastAsia"/>
              </w:rPr>
              <w:t>MSCI</w:t>
            </w:r>
            <w:r w:rsidRPr="00F93FFB">
              <w:rPr>
                <w:rFonts w:hint="eastAsia"/>
              </w:rPr>
              <w:t>中国</w:t>
            </w:r>
            <w:r w:rsidRPr="00F93FFB">
              <w:rPr>
                <w:rFonts w:hint="eastAsia"/>
              </w:rPr>
              <w:t>A</w:t>
            </w:r>
            <w:r w:rsidRPr="00F93FFB">
              <w:rPr>
                <w:rFonts w:hint="eastAsia"/>
              </w:rPr>
              <w:t>股交易型开放式指数证券投资基金联接基金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摩根瑞盛</w:t>
            </w:r>
            <w:r w:rsidRPr="00F93FFB">
              <w:rPr>
                <w:rFonts w:hint="eastAsia"/>
              </w:rPr>
              <w:t>87</w:t>
            </w:r>
            <w:r w:rsidRPr="00F93FFB">
              <w:rPr>
                <w:rFonts w:hint="eastAsia"/>
              </w:rPr>
              <w:t>个月定期开放债券型证券投资基金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摩根慧见两年持有期混合型证券投资基金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摩根远见两年持有期混合型证券投资基金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摩根安享回报一年持有期债券型证券投资基金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摩根行业睿选股票型证券投资基金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摩根优势成长混合型证券投资基金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摩根安荣回报混合型证券投资基金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摩根中债</w:t>
            </w:r>
            <w:r w:rsidRPr="00F93FFB">
              <w:rPr>
                <w:rFonts w:hint="eastAsia"/>
              </w:rPr>
              <w:t>1-3</w:t>
            </w:r>
            <w:r w:rsidRPr="00F93FFB">
              <w:rPr>
                <w:rFonts w:hint="eastAsia"/>
              </w:rPr>
              <w:t>年国开行债券指数证券投资基金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摩根景气甄选混合型证券投资基金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摩根均衡优选混合型证券投资基金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摩根中证沪港深科技</w:t>
            </w:r>
            <w:r w:rsidRPr="00F93FFB">
              <w:rPr>
                <w:rFonts w:hint="eastAsia"/>
              </w:rPr>
              <w:t>100</w:t>
            </w:r>
            <w:r w:rsidRPr="00F93FFB">
              <w:rPr>
                <w:rFonts w:hint="eastAsia"/>
              </w:rPr>
              <w:t>交易型开放式指数证券投资基金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摩根月月盈</w:t>
            </w:r>
            <w:r w:rsidRPr="00F93FFB">
              <w:rPr>
                <w:rFonts w:hint="eastAsia"/>
              </w:rPr>
              <w:t>30</w:t>
            </w:r>
            <w:r w:rsidRPr="00F93FFB">
              <w:rPr>
                <w:rFonts w:hint="eastAsia"/>
              </w:rPr>
              <w:t>天滚动持有发起式短债债券型证券投资基金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摩根恒生科技交易型开放式指数证券投资基金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摩根全景优势股票型证券投资基金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摩根沃享远见一年持有期混合型证券投资基金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摩根鑫睿优选一年持有期混合型证券投资基金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摩根博睿均衡一年持有期混合型基金中基金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摩根中证创新药产业交易型开放式指数证券投资基金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摩根慧享成长混合型证券投资基金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摩根时代睿选股票型证券投</w:t>
            </w:r>
            <w:bookmarkStart w:id="0" w:name="_GoBack"/>
            <w:bookmarkEnd w:id="0"/>
            <w:r w:rsidRPr="00F93FFB">
              <w:rPr>
                <w:rFonts w:hint="eastAsia"/>
              </w:rPr>
              <w:t>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摩根瑞享纯债债券型证券投资基金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摩根中证碳中和</w:t>
            </w:r>
            <w:r w:rsidRPr="00F93FFB">
              <w:rPr>
                <w:rFonts w:hint="eastAsia"/>
              </w:rPr>
              <w:t>60</w:t>
            </w:r>
            <w:r w:rsidRPr="00F93FFB">
              <w:rPr>
                <w:rFonts w:hint="eastAsia"/>
              </w:rPr>
              <w:t>交易型开放式指数证券投资基金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摩根沪深</w:t>
            </w:r>
            <w:r w:rsidRPr="00F93FFB">
              <w:rPr>
                <w:rFonts w:hint="eastAsia"/>
              </w:rPr>
              <w:t>300</w:t>
            </w:r>
            <w:r w:rsidRPr="00F93FFB">
              <w:rPr>
                <w:rFonts w:hint="eastAsia"/>
              </w:rPr>
              <w:t>指数增强型发起式证券投资基金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摩根标普</w:t>
            </w:r>
            <w:r w:rsidRPr="00F93FFB">
              <w:rPr>
                <w:rFonts w:hint="eastAsia"/>
              </w:rPr>
              <w:t>500</w:t>
            </w:r>
            <w:r w:rsidRPr="00F93FFB">
              <w:rPr>
                <w:rFonts w:hint="eastAsia"/>
              </w:rPr>
              <w:t>指数型发起式证券投资基金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摩根锦颐养老目标日期</w:t>
            </w:r>
            <w:r w:rsidRPr="00F93FFB">
              <w:rPr>
                <w:rFonts w:hint="eastAsia"/>
              </w:rPr>
              <w:t>2035</w:t>
            </w:r>
            <w:r w:rsidRPr="00F93FFB">
              <w:rPr>
                <w:rFonts w:hint="eastAsia"/>
              </w:rPr>
              <w:t>三年持有期混合型发起式基金中基金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摩根海外稳健配置混合型证券投资基金</w:t>
            </w:r>
            <w:r w:rsidRPr="00F93FFB">
              <w:rPr>
                <w:rFonts w:hint="eastAsia"/>
              </w:rPr>
              <w:t>(QDII-FOF)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摩根双季鑫</w:t>
            </w:r>
            <w:r w:rsidRPr="00F93FFB">
              <w:rPr>
                <w:rFonts w:hint="eastAsia"/>
              </w:rPr>
              <w:t>6</w:t>
            </w:r>
            <w:r w:rsidRPr="00F93FFB">
              <w:rPr>
                <w:rFonts w:hint="eastAsia"/>
              </w:rPr>
              <w:t>个月持有期债券型发起式基金中基金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摩根恒生科技交易型开放式指数证券投资基金发起式联接基金</w:t>
            </w:r>
            <w:r w:rsidRPr="00F93FFB">
              <w:rPr>
                <w:rFonts w:hint="eastAsia"/>
              </w:rPr>
              <w:t xml:space="preserve">(QDII) 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摩根世代趋势混合型发起式证券投资基金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摩根纳斯达克</w:t>
            </w:r>
            <w:r w:rsidRPr="00F93FFB">
              <w:rPr>
                <w:rFonts w:hint="eastAsia"/>
              </w:rPr>
              <w:t>100</w:t>
            </w:r>
            <w:r w:rsidRPr="00F93FFB">
              <w:rPr>
                <w:rFonts w:hint="eastAsia"/>
              </w:rPr>
              <w:t>指数型发起式证券投资基金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E6705B" w:rsidRPr="00F93FFB" w:rsidTr="00DB16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05B" w:rsidRPr="00F93FFB" w:rsidRDefault="00E6705B" w:rsidP="00DB16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705B" w:rsidRPr="00F93FFB" w:rsidRDefault="00E6705B" w:rsidP="00DB16EA">
            <w:pPr>
              <w:widowControl/>
              <w:jc w:val="left"/>
            </w:pPr>
            <w:r w:rsidRPr="00F93FFB">
              <w:rPr>
                <w:rFonts w:hint="eastAsia"/>
              </w:rPr>
              <w:t>摩根瑞锦纯债债券型证券投资基金</w:t>
            </w:r>
          </w:p>
        </w:tc>
      </w:tr>
    </w:tbl>
    <w:p w:rsidR="00BB3501" w:rsidRPr="00E6705B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BB3501" w:rsidRPr="00745155" w:rsidRDefault="00E6705B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摩根基金管理（中国）有限公司</w:t>
      </w:r>
    </w:p>
    <w:p w:rsidR="00BB3501" w:rsidRPr="00745155" w:rsidRDefault="006A09B5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745155">
        <w:rPr>
          <w:rFonts w:ascii="Times New Roman" w:eastAsia="宋体" w:hAnsi="Times New Roman" w:cs="Times New Roman"/>
          <w:color w:val="000000" w:themeColor="text1"/>
          <w:szCs w:val="21"/>
        </w:rPr>
        <w:t>20</w:t>
      </w:r>
      <w:r w:rsidR="00B73B7E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="004C3375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="00BB3501" w:rsidRPr="00745155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B73B7E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BB3501" w:rsidRPr="00745155">
        <w:rPr>
          <w:rFonts w:ascii="Times New Roman" w:eastAsia="宋体" w:hAnsi="Times New Roman" w:cs="Times New Roman"/>
          <w:color w:val="000000" w:themeColor="text1"/>
          <w:szCs w:val="21"/>
        </w:rPr>
        <w:t>月</w:t>
      </w:r>
      <w:r w:rsidR="004C3375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="00CD0405">
        <w:rPr>
          <w:rFonts w:ascii="Times New Roman" w:eastAsia="宋体" w:hAnsi="Times New Roman" w:cs="Times New Roman"/>
          <w:color w:val="000000" w:themeColor="text1"/>
          <w:szCs w:val="21"/>
        </w:rPr>
        <w:t>8</w:t>
      </w:r>
      <w:r w:rsidR="00BB3501" w:rsidRPr="00745155">
        <w:rPr>
          <w:rFonts w:ascii="Times New Roman" w:eastAsia="宋体" w:hAnsi="Times New Roman" w:cs="Times New Roman"/>
          <w:color w:val="000000" w:themeColor="text1"/>
          <w:szCs w:val="21"/>
        </w:rPr>
        <w:t>日</w:t>
      </w:r>
    </w:p>
    <w:sectPr w:rsidR="00BB3501" w:rsidRPr="00745155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42" w:rsidRDefault="00ED6242" w:rsidP="009A149B">
      <w:r>
        <w:separator/>
      </w:r>
    </w:p>
  </w:endnote>
  <w:endnote w:type="continuationSeparator" w:id="0">
    <w:p w:rsidR="00ED6242" w:rsidRDefault="00ED62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D41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3D41" w:rsidRPr="00A13D4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D41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3D41" w:rsidRPr="00A13D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42" w:rsidRDefault="00ED6242" w:rsidP="009A149B">
      <w:r>
        <w:separator/>
      </w:r>
    </w:p>
  </w:footnote>
  <w:footnote w:type="continuationSeparator" w:id="0">
    <w:p w:rsidR="00ED6242" w:rsidRDefault="00ED624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D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BF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D2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1516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3375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E65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D41"/>
    <w:rsid w:val="00A144A6"/>
    <w:rsid w:val="00A15393"/>
    <w:rsid w:val="00A20C8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5CC"/>
    <w:rsid w:val="00AB49A1"/>
    <w:rsid w:val="00AC1161"/>
    <w:rsid w:val="00AD18DD"/>
    <w:rsid w:val="00AD562B"/>
    <w:rsid w:val="00AE3F47"/>
    <w:rsid w:val="00AE69BF"/>
    <w:rsid w:val="00AF7347"/>
    <w:rsid w:val="00AF771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B7E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16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405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DC8"/>
    <w:rsid w:val="00E5059C"/>
    <w:rsid w:val="00E54C06"/>
    <w:rsid w:val="00E5664A"/>
    <w:rsid w:val="00E6705B"/>
    <w:rsid w:val="00E7407A"/>
    <w:rsid w:val="00E81A0A"/>
    <w:rsid w:val="00E964F7"/>
    <w:rsid w:val="00EA6F84"/>
    <w:rsid w:val="00EB7931"/>
    <w:rsid w:val="00ED548C"/>
    <w:rsid w:val="00ED6242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EB5E-8AB7-47B8-B755-47081F95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4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2021-02-22T03:29:00Z</cp:lastPrinted>
  <dcterms:created xsi:type="dcterms:W3CDTF">2024-03-27T16:02:00Z</dcterms:created>
  <dcterms:modified xsi:type="dcterms:W3CDTF">2024-03-27T16:02:00Z</dcterms:modified>
</cp:coreProperties>
</file>