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2D5" w:rsidRDefault="009A1368">
      <w:pPr>
        <w:pStyle w:val="a8"/>
      </w:pPr>
      <w:r>
        <w:rPr>
          <w:rFonts w:hint="eastAsia"/>
        </w:rPr>
        <w:t>华泰柏瑞基金管理有限公司关于旗下基金投资关联方</w:t>
      </w:r>
    </w:p>
    <w:p w:rsidR="00E532D5" w:rsidRDefault="009A1368">
      <w:pPr>
        <w:pStyle w:val="a8"/>
      </w:pPr>
      <w:r>
        <w:rPr>
          <w:rFonts w:hint="eastAsia"/>
        </w:rPr>
        <w:t>承销期内承销证券的公告</w:t>
      </w:r>
    </w:p>
    <w:p w:rsidR="00E532D5" w:rsidRDefault="00E532D5">
      <w:pPr>
        <w:spacing w:line="360" w:lineRule="auto"/>
        <w:ind w:firstLineChars="177" w:firstLine="425"/>
        <w:rPr>
          <w:sz w:val="24"/>
          <w:szCs w:val="24"/>
        </w:rPr>
      </w:pPr>
    </w:p>
    <w:p w:rsidR="00E532D5" w:rsidRDefault="009A1368">
      <w:pPr>
        <w:spacing w:line="360" w:lineRule="auto"/>
        <w:ind w:firstLineChars="177" w:firstLine="425"/>
        <w:rPr>
          <w:sz w:val="24"/>
          <w:szCs w:val="24"/>
        </w:rPr>
      </w:pPr>
      <w:r>
        <w:rPr>
          <w:rFonts w:hint="eastAsia"/>
          <w:sz w:val="24"/>
          <w:szCs w:val="24"/>
        </w:rPr>
        <w:t>根据《公开募集证券投资基金运作管理办法》、《公开募集证券投资基金信息披露管理办法》及相关法律法规、各基金基金合同及招募说明书等规定，在履行规定审批程序并经基金托管人同意后，华泰柏瑞基金管理有限公司（以下简称“本公司”）旗下部分基金参与了</w:t>
      </w:r>
      <w:r w:rsidR="00500EE6" w:rsidRPr="00500EE6">
        <w:rPr>
          <w:rFonts w:hint="eastAsia"/>
          <w:sz w:val="24"/>
          <w:szCs w:val="24"/>
        </w:rPr>
        <w:t>常州武进中瑞电子科技股份有限公司</w:t>
      </w:r>
      <w:r>
        <w:rPr>
          <w:rFonts w:hint="eastAsia"/>
          <w:sz w:val="24"/>
          <w:szCs w:val="24"/>
        </w:rPr>
        <w:t>（以下简称“</w:t>
      </w:r>
      <w:r w:rsidR="00500EE6" w:rsidRPr="00500EE6">
        <w:rPr>
          <w:rFonts w:hint="eastAsia"/>
          <w:sz w:val="24"/>
          <w:szCs w:val="24"/>
        </w:rPr>
        <w:t>中瑞股份</w:t>
      </w:r>
      <w:r w:rsidR="00C82E4B" w:rsidRPr="00C82E4B">
        <w:rPr>
          <w:rFonts w:hint="eastAsia"/>
          <w:sz w:val="24"/>
          <w:szCs w:val="24"/>
        </w:rPr>
        <w:t>”</w:t>
      </w:r>
      <w:r>
        <w:rPr>
          <w:rFonts w:hint="eastAsia"/>
          <w:sz w:val="24"/>
          <w:szCs w:val="24"/>
        </w:rPr>
        <w:t>）首次公开发行人民币普通股（</w:t>
      </w:r>
      <w:r>
        <w:rPr>
          <w:rFonts w:hint="eastAsia"/>
          <w:sz w:val="24"/>
          <w:szCs w:val="24"/>
        </w:rPr>
        <w:t>A</w:t>
      </w:r>
      <w:r>
        <w:rPr>
          <w:rFonts w:hint="eastAsia"/>
          <w:sz w:val="24"/>
          <w:szCs w:val="24"/>
        </w:rPr>
        <w:t>股）</w:t>
      </w:r>
      <w:r w:rsidR="00843AA9" w:rsidRPr="00843AA9">
        <w:rPr>
          <w:rFonts w:hint="eastAsia"/>
          <w:sz w:val="24"/>
          <w:szCs w:val="24"/>
        </w:rPr>
        <w:t>并在</w:t>
      </w:r>
      <w:r w:rsidR="00500EE6" w:rsidRPr="00500EE6">
        <w:rPr>
          <w:rFonts w:hint="eastAsia"/>
          <w:sz w:val="24"/>
          <w:szCs w:val="24"/>
        </w:rPr>
        <w:t>创业板</w:t>
      </w:r>
      <w:r w:rsidR="00843AA9" w:rsidRPr="00843AA9">
        <w:rPr>
          <w:rFonts w:hint="eastAsia"/>
          <w:sz w:val="24"/>
          <w:szCs w:val="24"/>
        </w:rPr>
        <w:t>上市</w:t>
      </w:r>
      <w:r>
        <w:rPr>
          <w:rFonts w:hint="eastAsia"/>
          <w:sz w:val="24"/>
          <w:szCs w:val="24"/>
        </w:rPr>
        <w:t>的申购。</w:t>
      </w:r>
      <w:r w:rsidR="00500EE6" w:rsidRPr="00500EE6">
        <w:rPr>
          <w:rFonts w:hint="eastAsia"/>
          <w:sz w:val="24"/>
          <w:szCs w:val="24"/>
        </w:rPr>
        <w:t>中瑞股份</w:t>
      </w:r>
      <w:r>
        <w:rPr>
          <w:rFonts w:hint="eastAsia"/>
          <w:sz w:val="24"/>
          <w:szCs w:val="24"/>
        </w:rPr>
        <w:t>本次发行的</w:t>
      </w:r>
      <w:r w:rsidR="000C50B7">
        <w:rPr>
          <w:rFonts w:hint="eastAsia"/>
          <w:sz w:val="24"/>
          <w:szCs w:val="24"/>
        </w:rPr>
        <w:t>保荐人（主承销商）</w:t>
      </w:r>
      <w:r>
        <w:rPr>
          <w:rFonts w:hint="eastAsia"/>
          <w:sz w:val="24"/>
          <w:szCs w:val="24"/>
        </w:rPr>
        <w:t>华泰联合证券有限责任公司为本公司关联方。本次发行价格为</w:t>
      </w:r>
      <w:r w:rsidR="00500EE6">
        <w:rPr>
          <w:sz w:val="24"/>
          <w:szCs w:val="24"/>
        </w:rPr>
        <w:t>21.73</w:t>
      </w:r>
      <w:r>
        <w:rPr>
          <w:rFonts w:hint="eastAsia"/>
          <w:sz w:val="24"/>
          <w:szCs w:val="24"/>
        </w:rPr>
        <w:t>元</w:t>
      </w:r>
      <w:r>
        <w:rPr>
          <w:rFonts w:hint="eastAsia"/>
          <w:sz w:val="24"/>
          <w:szCs w:val="24"/>
        </w:rPr>
        <w:t>/</w:t>
      </w:r>
      <w:r>
        <w:rPr>
          <w:rFonts w:hint="eastAsia"/>
          <w:sz w:val="24"/>
          <w:szCs w:val="24"/>
        </w:rPr>
        <w:t>股，由发行人</w:t>
      </w:r>
      <w:r w:rsidR="000C50B7">
        <w:rPr>
          <w:rFonts w:hint="eastAsia"/>
          <w:sz w:val="24"/>
          <w:szCs w:val="24"/>
        </w:rPr>
        <w:t>和</w:t>
      </w:r>
      <w:r>
        <w:rPr>
          <w:rFonts w:hint="eastAsia"/>
          <w:sz w:val="24"/>
          <w:szCs w:val="24"/>
        </w:rPr>
        <w:t>保荐</w:t>
      </w:r>
      <w:r w:rsidR="000C50B7">
        <w:rPr>
          <w:rFonts w:hint="eastAsia"/>
          <w:sz w:val="24"/>
          <w:szCs w:val="24"/>
        </w:rPr>
        <w:t>人（主承销商）</w:t>
      </w:r>
      <w:r>
        <w:rPr>
          <w:rFonts w:hint="eastAsia"/>
          <w:sz w:val="24"/>
          <w:szCs w:val="24"/>
        </w:rPr>
        <w:t>根据初步询价结果，综合考虑发行人基本面、市场情况、同行业上市公司估值水平、募集资金需求及承销风险等因素后协商确定。</w:t>
      </w:r>
    </w:p>
    <w:p w:rsidR="00E532D5" w:rsidRPr="00162C90" w:rsidRDefault="009A1368" w:rsidP="00500EE6">
      <w:pPr>
        <w:spacing w:line="360" w:lineRule="auto"/>
        <w:ind w:firstLineChars="177" w:firstLine="425"/>
        <w:rPr>
          <w:rFonts w:asciiTheme="minorEastAsia" w:hAnsiTheme="minorEastAsia"/>
          <w:sz w:val="24"/>
          <w:szCs w:val="24"/>
        </w:rPr>
      </w:pPr>
      <w:r>
        <w:rPr>
          <w:rFonts w:hint="eastAsia"/>
          <w:sz w:val="24"/>
          <w:szCs w:val="24"/>
        </w:rPr>
        <w:t>根据法律法规、基金合同及</w:t>
      </w:r>
      <w:r w:rsidR="00500EE6" w:rsidRPr="00500EE6">
        <w:rPr>
          <w:rFonts w:hint="eastAsia"/>
          <w:sz w:val="24"/>
          <w:szCs w:val="24"/>
        </w:rPr>
        <w:t>中瑞股份</w:t>
      </w:r>
      <w:r>
        <w:rPr>
          <w:rFonts w:hint="eastAsia"/>
          <w:sz w:val="24"/>
          <w:szCs w:val="24"/>
        </w:rPr>
        <w:t>于</w:t>
      </w:r>
      <w:r w:rsidR="00500EE6">
        <w:rPr>
          <w:rFonts w:hint="eastAsia"/>
          <w:sz w:val="24"/>
          <w:szCs w:val="24"/>
        </w:rPr>
        <w:t>202</w:t>
      </w:r>
      <w:r w:rsidR="00500EE6">
        <w:rPr>
          <w:sz w:val="24"/>
          <w:szCs w:val="24"/>
        </w:rPr>
        <w:t>4</w:t>
      </w:r>
      <w:r w:rsidR="00500EE6">
        <w:rPr>
          <w:rFonts w:hint="eastAsia"/>
          <w:sz w:val="24"/>
          <w:szCs w:val="24"/>
        </w:rPr>
        <w:t>年</w:t>
      </w:r>
      <w:r w:rsidR="00500EE6">
        <w:rPr>
          <w:sz w:val="24"/>
          <w:szCs w:val="24"/>
        </w:rPr>
        <w:t>3</w:t>
      </w:r>
      <w:r w:rsidR="008B67D8">
        <w:rPr>
          <w:rFonts w:hint="eastAsia"/>
          <w:sz w:val="24"/>
          <w:szCs w:val="24"/>
        </w:rPr>
        <w:t>月</w:t>
      </w:r>
      <w:r w:rsidR="00500EE6">
        <w:rPr>
          <w:sz w:val="24"/>
          <w:szCs w:val="24"/>
        </w:rPr>
        <w:t>27</w:t>
      </w:r>
      <w:r>
        <w:rPr>
          <w:rFonts w:hint="eastAsia"/>
          <w:sz w:val="24"/>
          <w:szCs w:val="24"/>
        </w:rPr>
        <w:t>日发布的《</w:t>
      </w:r>
      <w:r w:rsidR="00500EE6" w:rsidRPr="00500EE6">
        <w:rPr>
          <w:rFonts w:asciiTheme="minorEastAsia" w:hAnsiTheme="minorEastAsia" w:hint="eastAsia"/>
          <w:sz w:val="24"/>
          <w:szCs w:val="24"/>
        </w:rPr>
        <w:t>常州武进中瑞电子科技股份有限公司首次公开发行股票并在创业板上市网下发行初步配售结果公告</w:t>
      </w:r>
      <w:r>
        <w:rPr>
          <w:rFonts w:hint="eastAsia"/>
          <w:sz w:val="24"/>
          <w:szCs w:val="24"/>
        </w:rPr>
        <w:t>》，现将本公司旗下基金获配信息公告如下：</w:t>
      </w:r>
    </w:p>
    <w:p w:rsidR="00E532D5" w:rsidRPr="00A14804" w:rsidRDefault="00E532D5">
      <w:pPr>
        <w:spacing w:line="360" w:lineRule="auto"/>
        <w:ind w:firstLineChars="177" w:firstLine="425"/>
        <w:rPr>
          <w:sz w:val="24"/>
          <w:szCs w:val="24"/>
        </w:rPr>
      </w:pPr>
    </w:p>
    <w:tbl>
      <w:tblPr>
        <w:tblStyle w:val="a5"/>
        <w:tblW w:w="0" w:type="auto"/>
        <w:tblInd w:w="108" w:type="dxa"/>
        <w:tblLayout w:type="fixed"/>
        <w:tblLook w:val="04A0"/>
      </w:tblPr>
      <w:tblGrid>
        <w:gridCol w:w="4565"/>
        <w:gridCol w:w="1843"/>
        <w:gridCol w:w="1780"/>
      </w:tblGrid>
      <w:tr w:rsidR="00E532D5" w:rsidTr="00235075">
        <w:tc>
          <w:tcPr>
            <w:tcW w:w="4565" w:type="dxa"/>
            <w:vAlign w:val="center"/>
          </w:tcPr>
          <w:p w:rsidR="00E532D5" w:rsidRDefault="009A1368">
            <w:pPr>
              <w:spacing w:line="360" w:lineRule="auto"/>
              <w:jc w:val="center"/>
              <w:rPr>
                <w:rFonts w:cstheme="minorHAnsi"/>
                <w:color w:val="333333"/>
                <w:sz w:val="24"/>
                <w:szCs w:val="24"/>
              </w:rPr>
            </w:pPr>
            <w:r>
              <w:rPr>
                <w:rFonts w:cstheme="minorHAnsi"/>
                <w:b/>
                <w:color w:val="333333"/>
                <w:kern w:val="0"/>
                <w:sz w:val="24"/>
                <w:szCs w:val="24"/>
              </w:rPr>
              <w:t>基金名称</w:t>
            </w:r>
          </w:p>
        </w:tc>
        <w:tc>
          <w:tcPr>
            <w:tcW w:w="1843" w:type="dxa"/>
            <w:vAlign w:val="center"/>
          </w:tcPr>
          <w:p w:rsidR="00E532D5" w:rsidRDefault="009A1368">
            <w:pPr>
              <w:spacing w:line="360" w:lineRule="auto"/>
              <w:jc w:val="center"/>
              <w:rPr>
                <w:rFonts w:cstheme="minorHAnsi"/>
                <w:color w:val="333333"/>
                <w:sz w:val="24"/>
                <w:szCs w:val="24"/>
              </w:rPr>
            </w:pPr>
            <w:r>
              <w:rPr>
                <w:rFonts w:cstheme="minorHAnsi"/>
                <w:b/>
                <w:color w:val="333333"/>
                <w:kern w:val="0"/>
                <w:sz w:val="24"/>
                <w:szCs w:val="24"/>
              </w:rPr>
              <w:t>获配数量（股）</w:t>
            </w:r>
          </w:p>
        </w:tc>
        <w:tc>
          <w:tcPr>
            <w:tcW w:w="1780" w:type="dxa"/>
            <w:vAlign w:val="center"/>
          </w:tcPr>
          <w:p w:rsidR="00E532D5" w:rsidRDefault="009A1368">
            <w:pPr>
              <w:spacing w:line="360" w:lineRule="auto"/>
              <w:jc w:val="center"/>
              <w:rPr>
                <w:rFonts w:cstheme="minorHAnsi"/>
                <w:color w:val="333333"/>
                <w:sz w:val="24"/>
                <w:szCs w:val="24"/>
              </w:rPr>
            </w:pPr>
            <w:r>
              <w:rPr>
                <w:rFonts w:cstheme="minorHAnsi"/>
                <w:b/>
                <w:color w:val="333333"/>
                <w:kern w:val="0"/>
                <w:sz w:val="24"/>
                <w:szCs w:val="24"/>
              </w:rPr>
              <w:t>获配金额（元）</w:t>
            </w:r>
          </w:p>
        </w:tc>
      </w:tr>
      <w:tr w:rsidR="009A3751" w:rsidTr="009A3751">
        <w:tc>
          <w:tcPr>
            <w:tcW w:w="4565" w:type="dxa"/>
          </w:tcPr>
          <w:p w:rsidR="009A3751" w:rsidRPr="00A72120" w:rsidRDefault="009A3751" w:rsidP="009A3751">
            <w:pPr>
              <w:spacing w:line="360" w:lineRule="auto"/>
              <w:rPr>
                <w:rFonts w:ascii="宋体" w:eastAsia="宋体" w:hAnsi="宋体" w:cs="Times New Roman"/>
                <w:color w:val="333333"/>
                <w:szCs w:val="21"/>
              </w:rPr>
            </w:pPr>
            <w:r w:rsidRPr="00215B87">
              <w:rPr>
                <w:rFonts w:hint="eastAsia"/>
              </w:rPr>
              <w:t>华泰柏瑞量化增强混合型证券投资基金</w:t>
            </w:r>
          </w:p>
        </w:tc>
        <w:tc>
          <w:tcPr>
            <w:tcW w:w="1843"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3056</w:t>
            </w:r>
          </w:p>
        </w:tc>
        <w:tc>
          <w:tcPr>
            <w:tcW w:w="1780"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66406.88</w:t>
            </w:r>
          </w:p>
        </w:tc>
      </w:tr>
      <w:tr w:rsidR="009A3751" w:rsidTr="009A3751">
        <w:tc>
          <w:tcPr>
            <w:tcW w:w="4565" w:type="dxa"/>
          </w:tcPr>
          <w:p w:rsidR="009A3751" w:rsidRPr="00A72120" w:rsidRDefault="009A3751" w:rsidP="009A3751">
            <w:pPr>
              <w:spacing w:line="360" w:lineRule="auto"/>
              <w:rPr>
                <w:rFonts w:ascii="宋体" w:eastAsia="宋体" w:hAnsi="宋体" w:cs="Times New Roman"/>
                <w:color w:val="333333"/>
                <w:szCs w:val="21"/>
              </w:rPr>
            </w:pPr>
            <w:r w:rsidRPr="00215B87">
              <w:rPr>
                <w:rFonts w:hint="eastAsia"/>
              </w:rPr>
              <w:t>华泰柏瑞创新升级混合型证券投资基金</w:t>
            </w:r>
          </w:p>
        </w:tc>
        <w:tc>
          <w:tcPr>
            <w:tcW w:w="1843"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3056</w:t>
            </w:r>
          </w:p>
        </w:tc>
        <w:tc>
          <w:tcPr>
            <w:tcW w:w="1780"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66406.88</w:t>
            </w:r>
          </w:p>
        </w:tc>
      </w:tr>
      <w:tr w:rsidR="009A3751" w:rsidTr="009A3751">
        <w:tc>
          <w:tcPr>
            <w:tcW w:w="4565" w:type="dxa"/>
          </w:tcPr>
          <w:p w:rsidR="009A3751" w:rsidRPr="00A72120" w:rsidRDefault="009A3751" w:rsidP="009A3751">
            <w:pPr>
              <w:spacing w:line="360" w:lineRule="auto"/>
              <w:rPr>
                <w:rFonts w:ascii="宋体" w:eastAsia="宋体" w:hAnsi="宋体" w:cs="Times New Roman"/>
                <w:color w:val="333333"/>
                <w:szCs w:val="21"/>
              </w:rPr>
            </w:pPr>
            <w:r w:rsidRPr="00215B87">
              <w:rPr>
                <w:rFonts w:hint="eastAsia"/>
              </w:rPr>
              <w:t>华泰柏瑞量化优选灵活配置混合型证券投资基金</w:t>
            </w:r>
          </w:p>
        </w:tc>
        <w:tc>
          <w:tcPr>
            <w:tcW w:w="1843"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3056</w:t>
            </w:r>
          </w:p>
        </w:tc>
        <w:tc>
          <w:tcPr>
            <w:tcW w:w="1780" w:type="dxa"/>
            <w:vAlign w:val="bottom"/>
          </w:tcPr>
          <w:p w:rsidR="009A3751" w:rsidRPr="009A3751" w:rsidRDefault="009A3751" w:rsidP="009A3751">
            <w:pPr>
              <w:spacing w:line="360" w:lineRule="auto"/>
              <w:ind w:right="40"/>
              <w:jc w:val="right"/>
              <w:rPr>
                <w:rFonts w:eastAsia="宋体" w:cstheme="minorHAnsi"/>
                <w:szCs w:val="21"/>
              </w:rPr>
            </w:pPr>
            <w:r w:rsidRPr="009A3751">
              <w:rPr>
                <w:rFonts w:cstheme="minorHAnsi"/>
                <w:szCs w:val="21"/>
              </w:rPr>
              <w:t>66406.88</w:t>
            </w:r>
          </w:p>
        </w:tc>
      </w:tr>
      <w:tr w:rsidR="009A3751" w:rsidTr="009A3751">
        <w:tc>
          <w:tcPr>
            <w:tcW w:w="4565" w:type="dxa"/>
          </w:tcPr>
          <w:p w:rsidR="009A3751" w:rsidRPr="00A72120" w:rsidRDefault="009A3751" w:rsidP="009A3751">
            <w:pPr>
              <w:spacing w:line="360" w:lineRule="auto"/>
              <w:rPr>
                <w:rFonts w:ascii="宋体" w:eastAsia="宋体" w:hAnsi="宋体" w:cs="Times New Roman"/>
                <w:color w:val="333333"/>
                <w:szCs w:val="21"/>
              </w:rPr>
            </w:pPr>
            <w:r w:rsidRPr="00215B87">
              <w:rPr>
                <w:rFonts w:hint="eastAsia"/>
              </w:rPr>
              <w:t>华泰柏瑞创新动力灵活配置混合型证券投资基金</w:t>
            </w:r>
          </w:p>
        </w:tc>
        <w:tc>
          <w:tcPr>
            <w:tcW w:w="1843"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2934</w:t>
            </w:r>
          </w:p>
        </w:tc>
        <w:tc>
          <w:tcPr>
            <w:tcW w:w="1780"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63755.82</w:t>
            </w:r>
          </w:p>
        </w:tc>
      </w:tr>
      <w:tr w:rsidR="009A3751" w:rsidTr="009A3751">
        <w:tc>
          <w:tcPr>
            <w:tcW w:w="4565" w:type="dxa"/>
          </w:tcPr>
          <w:p w:rsidR="009A3751" w:rsidRPr="00A72120" w:rsidRDefault="009A3751" w:rsidP="009A3751">
            <w:pPr>
              <w:spacing w:line="360" w:lineRule="auto"/>
              <w:rPr>
                <w:rFonts w:ascii="宋体" w:eastAsia="宋体" w:hAnsi="宋体" w:cs="Times New Roman"/>
                <w:color w:val="333333"/>
                <w:szCs w:val="21"/>
              </w:rPr>
            </w:pPr>
            <w:r w:rsidRPr="00215B87">
              <w:rPr>
                <w:rFonts w:hint="eastAsia"/>
              </w:rPr>
              <w:t>华泰柏瑞量化驱动灵活配置混合型证券投资基金</w:t>
            </w:r>
          </w:p>
        </w:tc>
        <w:tc>
          <w:tcPr>
            <w:tcW w:w="1843"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3056</w:t>
            </w:r>
          </w:p>
        </w:tc>
        <w:tc>
          <w:tcPr>
            <w:tcW w:w="1780"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66406.88</w:t>
            </w:r>
          </w:p>
        </w:tc>
      </w:tr>
      <w:tr w:rsidR="009A3751" w:rsidTr="009A3751">
        <w:tc>
          <w:tcPr>
            <w:tcW w:w="4565" w:type="dxa"/>
          </w:tcPr>
          <w:p w:rsidR="009A3751" w:rsidRPr="00A72120" w:rsidRDefault="009A3751" w:rsidP="009A3751">
            <w:pPr>
              <w:spacing w:line="360" w:lineRule="auto"/>
              <w:rPr>
                <w:rFonts w:ascii="宋体" w:eastAsia="宋体" w:hAnsi="宋体" w:cs="Times New Roman"/>
                <w:color w:val="333333"/>
                <w:szCs w:val="21"/>
              </w:rPr>
            </w:pPr>
            <w:r w:rsidRPr="00215B87">
              <w:rPr>
                <w:rFonts w:hint="eastAsia"/>
              </w:rPr>
              <w:t>华泰柏瑞积极优选股票型证券投资基金</w:t>
            </w:r>
          </w:p>
        </w:tc>
        <w:tc>
          <w:tcPr>
            <w:tcW w:w="1843"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3056</w:t>
            </w:r>
          </w:p>
        </w:tc>
        <w:tc>
          <w:tcPr>
            <w:tcW w:w="1780"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66406.88</w:t>
            </w:r>
          </w:p>
        </w:tc>
      </w:tr>
      <w:tr w:rsidR="009A3751" w:rsidTr="009A3751">
        <w:tc>
          <w:tcPr>
            <w:tcW w:w="4565" w:type="dxa"/>
          </w:tcPr>
          <w:p w:rsidR="009A3751" w:rsidRPr="00A72120" w:rsidRDefault="009A3751" w:rsidP="009A3751">
            <w:pPr>
              <w:spacing w:line="360" w:lineRule="auto"/>
              <w:rPr>
                <w:rFonts w:ascii="宋体" w:eastAsia="宋体" w:hAnsi="宋体" w:cs="Times New Roman"/>
                <w:color w:val="333333"/>
                <w:szCs w:val="21"/>
              </w:rPr>
            </w:pPr>
            <w:r w:rsidRPr="00215B87">
              <w:rPr>
                <w:rFonts w:hint="eastAsia"/>
              </w:rPr>
              <w:t>华泰柏瑞量化智慧灵活配置混合型证券投资基</w:t>
            </w:r>
            <w:r w:rsidRPr="00215B87">
              <w:rPr>
                <w:rFonts w:hint="eastAsia"/>
              </w:rPr>
              <w:lastRenderedPageBreak/>
              <w:t>金</w:t>
            </w:r>
          </w:p>
        </w:tc>
        <w:tc>
          <w:tcPr>
            <w:tcW w:w="1843"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lastRenderedPageBreak/>
              <w:t>3056</w:t>
            </w:r>
          </w:p>
        </w:tc>
        <w:tc>
          <w:tcPr>
            <w:tcW w:w="1780"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66406.88</w:t>
            </w:r>
          </w:p>
        </w:tc>
      </w:tr>
      <w:tr w:rsidR="009A3751" w:rsidTr="009A3751">
        <w:tc>
          <w:tcPr>
            <w:tcW w:w="4565" w:type="dxa"/>
          </w:tcPr>
          <w:p w:rsidR="009A3751" w:rsidRPr="00A72120" w:rsidRDefault="009A3751" w:rsidP="009A3751">
            <w:pPr>
              <w:spacing w:line="360" w:lineRule="auto"/>
              <w:rPr>
                <w:rFonts w:ascii="宋体" w:eastAsia="宋体" w:hAnsi="宋体" w:cs="Times New Roman"/>
                <w:color w:val="333333"/>
                <w:szCs w:val="21"/>
              </w:rPr>
            </w:pPr>
            <w:r w:rsidRPr="00215B87">
              <w:rPr>
                <w:rFonts w:hint="eastAsia"/>
              </w:rPr>
              <w:lastRenderedPageBreak/>
              <w:t>华泰柏瑞新利灵活配置混合型证券投资基金</w:t>
            </w:r>
          </w:p>
        </w:tc>
        <w:tc>
          <w:tcPr>
            <w:tcW w:w="1843"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3056</w:t>
            </w:r>
          </w:p>
        </w:tc>
        <w:tc>
          <w:tcPr>
            <w:tcW w:w="1780"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66406.88</w:t>
            </w:r>
          </w:p>
        </w:tc>
      </w:tr>
      <w:tr w:rsidR="009A3751" w:rsidTr="009A3751">
        <w:tc>
          <w:tcPr>
            <w:tcW w:w="4565" w:type="dxa"/>
          </w:tcPr>
          <w:p w:rsidR="009A3751" w:rsidRPr="00A72120" w:rsidRDefault="009A3751" w:rsidP="009A3751">
            <w:pPr>
              <w:spacing w:line="360" w:lineRule="auto"/>
              <w:rPr>
                <w:rFonts w:ascii="宋体" w:eastAsia="宋体" w:hAnsi="宋体" w:cs="Times New Roman"/>
                <w:color w:val="333333"/>
                <w:szCs w:val="21"/>
              </w:rPr>
            </w:pPr>
            <w:r w:rsidRPr="00215B87">
              <w:rPr>
                <w:rFonts w:hint="eastAsia"/>
              </w:rPr>
              <w:t>华泰柏瑞多策略灵活配置混合型证券投资基金</w:t>
            </w:r>
          </w:p>
        </w:tc>
        <w:tc>
          <w:tcPr>
            <w:tcW w:w="1843"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3056</w:t>
            </w:r>
          </w:p>
        </w:tc>
        <w:tc>
          <w:tcPr>
            <w:tcW w:w="1780"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66406.88</w:t>
            </w:r>
          </w:p>
        </w:tc>
      </w:tr>
      <w:tr w:rsidR="009A3751" w:rsidTr="009A3751">
        <w:tc>
          <w:tcPr>
            <w:tcW w:w="4565" w:type="dxa"/>
          </w:tcPr>
          <w:p w:rsidR="009A3751" w:rsidRPr="00A72120" w:rsidRDefault="009A3751" w:rsidP="009A3751">
            <w:pPr>
              <w:spacing w:line="360" w:lineRule="auto"/>
              <w:rPr>
                <w:rFonts w:ascii="宋体" w:eastAsia="宋体" w:hAnsi="宋体" w:cs="Times New Roman"/>
                <w:color w:val="333333"/>
                <w:szCs w:val="21"/>
              </w:rPr>
            </w:pPr>
            <w:r w:rsidRPr="00215B87">
              <w:rPr>
                <w:rFonts w:hint="eastAsia"/>
              </w:rPr>
              <w:t>华泰柏瑞享利灵活配置混合型证券投资基金</w:t>
            </w:r>
          </w:p>
        </w:tc>
        <w:tc>
          <w:tcPr>
            <w:tcW w:w="1843"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3056</w:t>
            </w:r>
          </w:p>
        </w:tc>
        <w:tc>
          <w:tcPr>
            <w:tcW w:w="1780"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66406.88</w:t>
            </w:r>
          </w:p>
        </w:tc>
      </w:tr>
      <w:tr w:rsidR="009A3751" w:rsidTr="009A3751">
        <w:tc>
          <w:tcPr>
            <w:tcW w:w="4565" w:type="dxa"/>
          </w:tcPr>
          <w:p w:rsidR="009A3751" w:rsidRPr="00A72120" w:rsidRDefault="009A3751" w:rsidP="009A3751">
            <w:pPr>
              <w:spacing w:line="360" w:lineRule="auto"/>
              <w:rPr>
                <w:rFonts w:ascii="宋体" w:eastAsia="宋体" w:hAnsi="宋体" w:cs="Times New Roman"/>
                <w:color w:val="333333"/>
                <w:szCs w:val="21"/>
              </w:rPr>
            </w:pPr>
            <w:r w:rsidRPr="00215B87">
              <w:rPr>
                <w:rFonts w:hint="eastAsia"/>
              </w:rPr>
              <w:t>华泰柏瑞鼎利灵活配置混合型证券投资基金</w:t>
            </w:r>
          </w:p>
        </w:tc>
        <w:tc>
          <w:tcPr>
            <w:tcW w:w="1843"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3056</w:t>
            </w:r>
          </w:p>
        </w:tc>
        <w:tc>
          <w:tcPr>
            <w:tcW w:w="1780"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66406.88</w:t>
            </w:r>
          </w:p>
        </w:tc>
      </w:tr>
      <w:tr w:rsidR="009A3751" w:rsidTr="009A3751">
        <w:tc>
          <w:tcPr>
            <w:tcW w:w="4565" w:type="dxa"/>
          </w:tcPr>
          <w:p w:rsidR="009A3751" w:rsidRPr="00A72120" w:rsidRDefault="009A3751" w:rsidP="009A3751">
            <w:pPr>
              <w:spacing w:line="360" w:lineRule="auto"/>
              <w:rPr>
                <w:rFonts w:ascii="宋体" w:eastAsia="宋体" w:hAnsi="宋体" w:cs="Times New Roman"/>
                <w:color w:val="333333"/>
                <w:szCs w:val="21"/>
              </w:rPr>
            </w:pPr>
            <w:r w:rsidRPr="00215B87">
              <w:rPr>
                <w:rFonts w:hint="eastAsia"/>
              </w:rPr>
              <w:t>华泰柏瑞富利灵活配置混合型证券投资基金</w:t>
            </w:r>
          </w:p>
        </w:tc>
        <w:tc>
          <w:tcPr>
            <w:tcW w:w="1843"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3056</w:t>
            </w:r>
          </w:p>
        </w:tc>
        <w:tc>
          <w:tcPr>
            <w:tcW w:w="1780"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66406.88</w:t>
            </w:r>
          </w:p>
        </w:tc>
      </w:tr>
      <w:tr w:rsidR="009A3751" w:rsidTr="009A3751">
        <w:tc>
          <w:tcPr>
            <w:tcW w:w="4565" w:type="dxa"/>
          </w:tcPr>
          <w:p w:rsidR="009A3751" w:rsidRPr="00A72120" w:rsidRDefault="009A3751" w:rsidP="009A3751">
            <w:pPr>
              <w:spacing w:line="360" w:lineRule="auto"/>
              <w:rPr>
                <w:rFonts w:ascii="宋体" w:eastAsia="宋体" w:hAnsi="宋体" w:cs="Times New Roman"/>
                <w:szCs w:val="21"/>
              </w:rPr>
            </w:pPr>
            <w:r w:rsidRPr="00215B87">
              <w:rPr>
                <w:rFonts w:hint="eastAsia"/>
              </w:rPr>
              <w:t>华泰柏瑞生物医药灵活配置混合型证券投资基金</w:t>
            </w:r>
          </w:p>
        </w:tc>
        <w:tc>
          <w:tcPr>
            <w:tcW w:w="1843"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3056</w:t>
            </w:r>
          </w:p>
        </w:tc>
        <w:tc>
          <w:tcPr>
            <w:tcW w:w="1780"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66406.88</w:t>
            </w:r>
          </w:p>
        </w:tc>
      </w:tr>
      <w:tr w:rsidR="009A3751" w:rsidTr="009A3751">
        <w:tc>
          <w:tcPr>
            <w:tcW w:w="4565" w:type="dxa"/>
          </w:tcPr>
          <w:p w:rsidR="009A3751" w:rsidRPr="00A72120" w:rsidRDefault="009A3751" w:rsidP="009A3751">
            <w:pPr>
              <w:spacing w:line="360" w:lineRule="auto"/>
              <w:rPr>
                <w:rFonts w:ascii="宋体" w:eastAsia="宋体" w:hAnsi="宋体" w:cs="Times New Roman"/>
                <w:szCs w:val="21"/>
              </w:rPr>
            </w:pPr>
            <w:r w:rsidRPr="00215B87">
              <w:rPr>
                <w:rFonts w:hint="eastAsia"/>
              </w:rPr>
              <w:t>华泰柏瑞新金融地产灵活配置混合型证券投资基金</w:t>
            </w:r>
          </w:p>
        </w:tc>
        <w:tc>
          <w:tcPr>
            <w:tcW w:w="1843"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3056</w:t>
            </w:r>
          </w:p>
        </w:tc>
        <w:tc>
          <w:tcPr>
            <w:tcW w:w="1780"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66406.88</w:t>
            </w:r>
          </w:p>
        </w:tc>
      </w:tr>
      <w:tr w:rsidR="009A3751" w:rsidTr="009A3751">
        <w:tc>
          <w:tcPr>
            <w:tcW w:w="4565" w:type="dxa"/>
          </w:tcPr>
          <w:p w:rsidR="009A3751" w:rsidRPr="00A72120" w:rsidRDefault="009A3751" w:rsidP="009A3751">
            <w:pPr>
              <w:spacing w:line="360" w:lineRule="auto"/>
              <w:rPr>
                <w:rFonts w:ascii="宋体" w:eastAsia="宋体" w:hAnsi="宋体" w:cs="Times New Roman"/>
                <w:szCs w:val="21"/>
              </w:rPr>
            </w:pPr>
            <w:r w:rsidRPr="00215B87">
              <w:rPr>
                <w:rFonts w:hint="eastAsia"/>
              </w:rPr>
              <w:t>华泰柏瑞医疗健康混合型证券投资基金</w:t>
            </w:r>
          </w:p>
        </w:tc>
        <w:tc>
          <w:tcPr>
            <w:tcW w:w="1843"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3056</w:t>
            </w:r>
          </w:p>
        </w:tc>
        <w:tc>
          <w:tcPr>
            <w:tcW w:w="1780"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66406.88</w:t>
            </w:r>
          </w:p>
        </w:tc>
      </w:tr>
      <w:tr w:rsidR="009A3751" w:rsidTr="009A3751">
        <w:tc>
          <w:tcPr>
            <w:tcW w:w="4565" w:type="dxa"/>
          </w:tcPr>
          <w:p w:rsidR="009A3751" w:rsidRPr="00A72120" w:rsidRDefault="009A3751" w:rsidP="009A3751">
            <w:pPr>
              <w:spacing w:line="360" w:lineRule="auto"/>
              <w:rPr>
                <w:rFonts w:ascii="宋体" w:eastAsia="宋体" w:hAnsi="宋体" w:cs="Times New Roman"/>
                <w:szCs w:val="21"/>
              </w:rPr>
            </w:pPr>
            <w:r w:rsidRPr="00215B87">
              <w:rPr>
                <w:rFonts w:hint="eastAsia"/>
              </w:rPr>
              <w:t>华泰柏瑞研究精选混合型证券投资基金</w:t>
            </w:r>
          </w:p>
        </w:tc>
        <w:tc>
          <w:tcPr>
            <w:tcW w:w="1843"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3056</w:t>
            </w:r>
          </w:p>
        </w:tc>
        <w:tc>
          <w:tcPr>
            <w:tcW w:w="1780"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66406.88</w:t>
            </w:r>
          </w:p>
        </w:tc>
      </w:tr>
      <w:tr w:rsidR="009A3751" w:rsidTr="009A3751">
        <w:tc>
          <w:tcPr>
            <w:tcW w:w="4565" w:type="dxa"/>
          </w:tcPr>
          <w:p w:rsidR="009A3751" w:rsidRPr="00A72120" w:rsidRDefault="009A3751" w:rsidP="009A3751">
            <w:pPr>
              <w:spacing w:line="360" w:lineRule="auto"/>
              <w:rPr>
                <w:rFonts w:ascii="宋体" w:eastAsia="宋体" w:hAnsi="宋体" w:cs="Times New Roman"/>
                <w:szCs w:val="21"/>
              </w:rPr>
            </w:pPr>
            <w:r w:rsidRPr="00215B87">
              <w:rPr>
                <w:rFonts w:hint="eastAsia"/>
              </w:rPr>
              <w:t>华泰柏瑞景气回报一年持有期混合型证券投资基金</w:t>
            </w:r>
          </w:p>
        </w:tc>
        <w:tc>
          <w:tcPr>
            <w:tcW w:w="1843"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2078</w:t>
            </w:r>
          </w:p>
        </w:tc>
        <w:tc>
          <w:tcPr>
            <w:tcW w:w="1780"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45154.94</w:t>
            </w:r>
          </w:p>
        </w:tc>
      </w:tr>
      <w:tr w:rsidR="009A3751" w:rsidTr="009A3751">
        <w:tc>
          <w:tcPr>
            <w:tcW w:w="4565" w:type="dxa"/>
          </w:tcPr>
          <w:p w:rsidR="009A3751" w:rsidRPr="00A72120" w:rsidRDefault="009A3751" w:rsidP="009A3751">
            <w:pPr>
              <w:spacing w:line="360" w:lineRule="auto"/>
              <w:rPr>
                <w:rFonts w:ascii="宋体" w:eastAsia="宋体" w:hAnsi="宋体" w:cs="Times New Roman"/>
                <w:szCs w:val="21"/>
              </w:rPr>
            </w:pPr>
            <w:r w:rsidRPr="00215B87">
              <w:rPr>
                <w:rFonts w:hint="eastAsia"/>
              </w:rPr>
              <w:t>华泰柏瑞质量成长混合型证券投资基金</w:t>
            </w:r>
          </w:p>
        </w:tc>
        <w:tc>
          <w:tcPr>
            <w:tcW w:w="1843"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3056</w:t>
            </w:r>
          </w:p>
        </w:tc>
        <w:tc>
          <w:tcPr>
            <w:tcW w:w="1780"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66406.88</w:t>
            </w:r>
          </w:p>
        </w:tc>
      </w:tr>
      <w:tr w:rsidR="009A3751" w:rsidTr="009A3751">
        <w:tc>
          <w:tcPr>
            <w:tcW w:w="4565" w:type="dxa"/>
          </w:tcPr>
          <w:p w:rsidR="009A3751" w:rsidRPr="00A72120" w:rsidRDefault="009A3751" w:rsidP="009A3751">
            <w:pPr>
              <w:spacing w:line="360" w:lineRule="auto"/>
              <w:rPr>
                <w:rFonts w:ascii="宋体" w:eastAsia="宋体" w:hAnsi="宋体" w:cs="Times New Roman"/>
                <w:szCs w:val="21"/>
              </w:rPr>
            </w:pPr>
            <w:r w:rsidRPr="00215B87">
              <w:rPr>
                <w:rFonts w:hint="eastAsia"/>
              </w:rPr>
              <w:t>华泰柏瑞景气优选混合型证券投资基金</w:t>
            </w:r>
          </w:p>
        </w:tc>
        <w:tc>
          <w:tcPr>
            <w:tcW w:w="1843"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3056</w:t>
            </w:r>
          </w:p>
        </w:tc>
        <w:tc>
          <w:tcPr>
            <w:tcW w:w="1780"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66406.88</w:t>
            </w:r>
          </w:p>
        </w:tc>
      </w:tr>
      <w:tr w:rsidR="009A3751" w:rsidTr="009A3751">
        <w:tc>
          <w:tcPr>
            <w:tcW w:w="4565" w:type="dxa"/>
          </w:tcPr>
          <w:p w:rsidR="009A3751" w:rsidRPr="00A72120" w:rsidRDefault="009A3751" w:rsidP="009A3751">
            <w:pPr>
              <w:spacing w:line="360" w:lineRule="auto"/>
              <w:rPr>
                <w:rFonts w:ascii="宋体" w:eastAsia="宋体" w:hAnsi="宋体" w:cs="Times New Roman"/>
                <w:szCs w:val="21"/>
              </w:rPr>
            </w:pPr>
            <w:r w:rsidRPr="00215B87">
              <w:rPr>
                <w:rFonts w:hint="eastAsia"/>
              </w:rPr>
              <w:t>华泰柏瑞品质优选混合型证券投资基金</w:t>
            </w:r>
          </w:p>
        </w:tc>
        <w:tc>
          <w:tcPr>
            <w:tcW w:w="1843"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3056</w:t>
            </w:r>
          </w:p>
        </w:tc>
        <w:tc>
          <w:tcPr>
            <w:tcW w:w="1780"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66406.88</w:t>
            </w:r>
          </w:p>
        </w:tc>
      </w:tr>
      <w:tr w:rsidR="009A3751" w:rsidTr="009A3751">
        <w:tc>
          <w:tcPr>
            <w:tcW w:w="4565" w:type="dxa"/>
          </w:tcPr>
          <w:p w:rsidR="009A3751" w:rsidRPr="00A72120" w:rsidRDefault="009A3751" w:rsidP="009A3751">
            <w:pPr>
              <w:spacing w:line="360" w:lineRule="auto"/>
              <w:rPr>
                <w:rFonts w:ascii="宋体" w:eastAsia="宋体" w:hAnsi="宋体" w:cs="Times New Roman"/>
                <w:szCs w:val="21"/>
              </w:rPr>
            </w:pPr>
            <w:r w:rsidRPr="00215B87">
              <w:rPr>
                <w:rFonts w:hint="eastAsia"/>
              </w:rPr>
              <w:t>华泰柏瑞优势领航混合型证券投资基金</w:t>
            </w:r>
          </w:p>
        </w:tc>
        <w:tc>
          <w:tcPr>
            <w:tcW w:w="1843"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3056</w:t>
            </w:r>
          </w:p>
        </w:tc>
        <w:tc>
          <w:tcPr>
            <w:tcW w:w="1780"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66406.88</w:t>
            </w:r>
          </w:p>
        </w:tc>
      </w:tr>
      <w:tr w:rsidR="009A3751" w:rsidTr="009A3751">
        <w:tc>
          <w:tcPr>
            <w:tcW w:w="4565" w:type="dxa"/>
          </w:tcPr>
          <w:p w:rsidR="009A3751" w:rsidRPr="00A72120" w:rsidRDefault="009A3751" w:rsidP="009A3751">
            <w:pPr>
              <w:spacing w:line="360" w:lineRule="auto"/>
              <w:rPr>
                <w:rFonts w:ascii="宋体" w:eastAsia="宋体" w:hAnsi="宋体" w:cs="Times New Roman"/>
                <w:szCs w:val="21"/>
              </w:rPr>
            </w:pPr>
            <w:r w:rsidRPr="00215B87">
              <w:rPr>
                <w:rFonts w:hint="eastAsia"/>
              </w:rPr>
              <w:t>华泰柏瑞量化创享混合型证券投资基金</w:t>
            </w:r>
          </w:p>
        </w:tc>
        <w:tc>
          <w:tcPr>
            <w:tcW w:w="1843"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2170</w:t>
            </w:r>
          </w:p>
        </w:tc>
        <w:tc>
          <w:tcPr>
            <w:tcW w:w="1780"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47154.10</w:t>
            </w:r>
          </w:p>
        </w:tc>
      </w:tr>
      <w:tr w:rsidR="009A3751" w:rsidTr="009A3751">
        <w:tc>
          <w:tcPr>
            <w:tcW w:w="4565" w:type="dxa"/>
          </w:tcPr>
          <w:p w:rsidR="009A3751" w:rsidRPr="00A72120" w:rsidRDefault="009A3751" w:rsidP="009A3751">
            <w:pPr>
              <w:spacing w:line="360" w:lineRule="auto"/>
              <w:rPr>
                <w:rFonts w:ascii="宋体" w:eastAsia="宋体" w:hAnsi="宋体" w:cs="Times New Roman"/>
                <w:szCs w:val="21"/>
              </w:rPr>
            </w:pPr>
            <w:r w:rsidRPr="00215B87">
              <w:rPr>
                <w:rFonts w:hint="eastAsia"/>
              </w:rPr>
              <w:t>华泰柏瑞成长智选混合型证券投资基金</w:t>
            </w:r>
          </w:p>
        </w:tc>
        <w:tc>
          <w:tcPr>
            <w:tcW w:w="1843"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2690</w:t>
            </w:r>
          </w:p>
        </w:tc>
        <w:tc>
          <w:tcPr>
            <w:tcW w:w="1780"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58453.70</w:t>
            </w:r>
          </w:p>
        </w:tc>
      </w:tr>
      <w:tr w:rsidR="009A3751" w:rsidTr="009A3751">
        <w:tc>
          <w:tcPr>
            <w:tcW w:w="4565" w:type="dxa"/>
          </w:tcPr>
          <w:p w:rsidR="009A3751" w:rsidRPr="00A72120" w:rsidRDefault="009A3751" w:rsidP="009A3751">
            <w:pPr>
              <w:spacing w:line="360" w:lineRule="auto"/>
              <w:rPr>
                <w:rFonts w:ascii="宋体" w:eastAsia="宋体" w:hAnsi="宋体" w:cs="Times New Roman"/>
                <w:szCs w:val="21"/>
              </w:rPr>
            </w:pPr>
            <w:r w:rsidRPr="00215B87">
              <w:rPr>
                <w:rFonts w:hint="eastAsia"/>
              </w:rPr>
              <w:t>华泰柏瑞质量领先混合型证券投资基金</w:t>
            </w:r>
          </w:p>
        </w:tc>
        <w:tc>
          <w:tcPr>
            <w:tcW w:w="1843"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3056</w:t>
            </w:r>
          </w:p>
        </w:tc>
        <w:tc>
          <w:tcPr>
            <w:tcW w:w="1780"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66406.88</w:t>
            </w:r>
          </w:p>
        </w:tc>
      </w:tr>
      <w:tr w:rsidR="009A3751" w:rsidTr="009A3751">
        <w:tc>
          <w:tcPr>
            <w:tcW w:w="4565" w:type="dxa"/>
          </w:tcPr>
          <w:p w:rsidR="009A3751" w:rsidRPr="00A72120" w:rsidRDefault="009A3751" w:rsidP="009A3751">
            <w:pPr>
              <w:spacing w:line="360" w:lineRule="auto"/>
              <w:rPr>
                <w:rFonts w:ascii="宋体" w:eastAsia="宋体" w:hAnsi="宋体" w:cs="Times New Roman"/>
                <w:szCs w:val="21"/>
              </w:rPr>
            </w:pPr>
            <w:r w:rsidRPr="00215B87">
              <w:rPr>
                <w:rFonts w:hint="eastAsia"/>
              </w:rPr>
              <w:t>华泰柏瑞品质成长混合型证券投资基金</w:t>
            </w:r>
          </w:p>
        </w:tc>
        <w:tc>
          <w:tcPr>
            <w:tcW w:w="1843"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3056</w:t>
            </w:r>
          </w:p>
        </w:tc>
        <w:tc>
          <w:tcPr>
            <w:tcW w:w="1780"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66406.88</w:t>
            </w:r>
          </w:p>
        </w:tc>
      </w:tr>
      <w:tr w:rsidR="009A3751" w:rsidTr="009A3751">
        <w:tc>
          <w:tcPr>
            <w:tcW w:w="4565" w:type="dxa"/>
          </w:tcPr>
          <w:p w:rsidR="009A3751" w:rsidRPr="00A72120" w:rsidRDefault="009A3751" w:rsidP="009A3751">
            <w:pPr>
              <w:spacing w:line="360" w:lineRule="auto"/>
              <w:rPr>
                <w:rFonts w:ascii="宋体" w:eastAsia="宋体" w:hAnsi="宋体" w:cs="Times New Roman"/>
                <w:szCs w:val="21"/>
              </w:rPr>
            </w:pPr>
            <w:r w:rsidRPr="00215B87">
              <w:rPr>
                <w:rFonts w:hint="eastAsia"/>
              </w:rPr>
              <w:t>华泰柏瑞景气成长混合型证券投资基金</w:t>
            </w:r>
          </w:p>
        </w:tc>
        <w:tc>
          <w:tcPr>
            <w:tcW w:w="1843"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1803</w:t>
            </w:r>
          </w:p>
        </w:tc>
        <w:tc>
          <w:tcPr>
            <w:tcW w:w="1780"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39179.19</w:t>
            </w:r>
          </w:p>
        </w:tc>
      </w:tr>
      <w:tr w:rsidR="009A3751" w:rsidTr="009A3751">
        <w:tc>
          <w:tcPr>
            <w:tcW w:w="4565" w:type="dxa"/>
          </w:tcPr>
          <w:p w:rsidR="009A3751" w:rsidRPr="00A72120" w:rsidRDefault="009A3751" w:rsidP="009A3751">
            <w:pPr>
              <w:spacing w:line="360" w:lineRule="auto"/>
              <w:rPr>
                <w:rFonts w:ascii="宋体" w:eastAsia="宋体" w:hAnsi="宋体" w:cs="Times New Roman"/>
                <w:szCs w:val="21"/>
              </w:rPr>
            </w:pPr>
            <w:r w:rsidRPr="00215B87">
              <w:rPr>
                <w:rFonts w:hint="eastAsia"/>
              </w:rPr>
              <w:t>华泰柏瑞远见智选混合型证券投资基金</w:t>
            </w:r>
          </w:p>
        </w:tc>
        <w:tc>
          <w:tcPr>
            <w:tcW w:w="1843"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3056</w:t>
            </w:r>
          </w:p>
        </w:tc>
        <w:tc>
          <w:tcPr>
            <w:tcW w:w="1780"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66406.88</w:t>
            </w:r>
          </w:p>
        </w:tc>
      </w:tr>
      <w:tr w:rsidR="009A3751" w:rsidTr="009A3751">
        <w:tc>
          <w:tcPr>
            <w:tcW w:w="4565" w:type="dxa"/>
          </w:tcPr>
          <w:p w:rsidR="009A3751" w:rsidRPr="00A72120" w:rsidRDefault="009A3751" w:rsidP="009A3751">
            <w:pPr>
              <w:spacing w:line="360" w:lineRule="auto"/>
              <w:rPr>
                <w:rFonts w:ascii="宋体" w:eastAsia="宋体" w:hAnsi="宋体" w:cs="Times New Roman"/>
                <w:szCs w:val="21"/>
              </w:rPr>
            </w:pPr>
            <w:r w:rsidRPr="00215B87">
              <w:rPr>
                <w:rFonts w:hint="eastAsia"/>
              </w:rPr>
              <w:t>华泰柏瑞恒利混合型证券投资基金</w:t>
            </w:r>
          </w:p>
        </w:tc>
        <w:tc>
          <w:tcPr>
            <w:tcW w:w="1843"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3056</w:t>
            </w:r>
          </w:p>
        </w:tc>
        <w:tc>
          <w:tcPr>
            <w:tcW w:w="1780"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66406.88</w:t>
            </w:r>
          </w:p>
        </w:tc>
      </w:tr>
      <w:tr w:rsidR="009A3751" w:rsidTr="009A3751">
        <w:tc>
          <w:tcPr>
            <w:tcW w:w="4565" w:type="dxa"/>
          </w:tcPr>
          <w:p w:rsidR="009A3751" w:rsidRPr="00A72120" w:rsidRDefault="009A3751" w:rsidP="009A3751">
            <w:pPr>
              <w:spacing w:line="360" w:lineRule="auto"/>
              <w:rPr>
                <w:rFonts w:ascii="宋体" w:eastAsia="宋体" w:hAnsi="宋体" w:cs="Times New Roman"/>
                <w:szCs w:val="21"/>
              </w:rPr>
            </w:pPr>
            <w:r w:rsidRPr="00215B87">
              <w:rPr>
                <w:rFonts w:hint="eastAsia"/>
              </w:rPr>
              <w:t>华泰柏瑞景气汇选三年持有期混合型证券投资基金</w:t>
            </w:r>
          </w:p>
        </w:tc>
        <w:tc>
          <w:tcPr>
            <w:tcW w:w="1843"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3056</w:t>
            </w:r>
          </w:p>
        </w:tc>
        <w:tc>
          <w:tcPr>
            <w:tcW w:w="1780"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66406.88</w:t>
            </w:r>
          </w:p>
        </w:tc>
      </w:tr>
      <w:tr w:rsidR="009A3751" w:rsidTr="009A3751">
        <w:tc>
          <w:tcPr>
            <w:tcW w:w="4565" w:type="dxa"/>
          </w:tcPr>
          <w:p w:rsidR="009A3751" w:rsidRPr="00A72120" w:rsidRDefault="009A3751" w:rsidP="009A3751">
            <w:pPr>
              <w:spacing w:line="360" w:lineRule="auto"/>
              <w:rPr>
                <w:rFonts w:ascii="宋体" w:eastAsia="宋体" w:hAnsi="宋体" w:cs="Times New Roman"/>
                <w:szCs w:val="21"/>
              </w:rPr>
            </w:pPr>
            <w:r w:rsidRPr="00215B87">
              <w:rPr>
                <w:rFonts w:hint="eastAsia"/>
              </w:rPr>
              <w:t>华泰柏瑞低碳经济智选混合型证券投资基金</w:t>
            </w:r>
          </w:p>
        </w:tc>
        <w:tc>
          <w:tcPr>
            <w:tcW w:w="1843"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3056</w:t>
            </w:r>
          </w:p>
        </w:tc>
        <w:tc>
          <w:tcPr>
            <w:tcW w:w="1780"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66406.88</w:t>
            </w:r>
          </w:p>
        </w:tc>
      </w:tr>
      <w:tr w:rsidR="009A3751" w:rsidTr="009A3751">
        <w:tc>
          <w:tcPr>
            <w:tcW w:w="4565" w:type="dxa"/>
          </w:tcPr>
          <w:p w:rsidR="009A3751" w:rsidRPr="00A72120" w:rsidRDefault="009A3751" w:rsidP="009A3751">
            <w:pPr>
              <w:spacing w:line="360" w:lineRule="auto"/>
              <w:rPr>
                <w:rFonts w:ascii="宋体" w:eastAsia="宋体" w:hAnsi="宋体" w:cs="Times New Roman"/>
                <w:szCs w:val="21"/>
              </w:rPr>
            </w:pPr>
            <w:r w:rsidRPr="00215B87">
              <w:rPr>
                <w:rFonts w:hint="eastAsia"/>
              </w:rPr>
              <w:t>华泰柏瑞行业优选</w:t>
            </w:r>
            <w:r w:rsidRPr="00215B87">
              <w:rPr>
                <w:rFonts w:hint="eastAsia"/>
              </w:rPr>
              <w:t>6</w:t>
            </w:r>
            <w:r w:rsidRPr="00215B87">
              <w:rPr>
                <w:rFonts w:hint="eastAsia"/>
              </w:rPr>
              <w:t>个月持有期混合型证券投</w:t>
            </w:r>
            <w:r w:rsidRPr="00215B87">
              <w:rPr>
                <w:rFonts w:hint="eastAsia"/>
              </w:rPr>
              <w:lastRenderedPageBreak/>
              <w:t>资基金</w:t>
            </w:r>
          </w:p>
        </w:tc>
        <w:tc>
          <w:tcPr>
            <w:tcW w:w="1843"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lastRenderedPageBreak/>
              <w:t>1834</w:t>
            </w:r>
          </w:p>
        </w:tc>
        <w:tc>
          <w:tcPr>
            <w:tcW w:w="1780"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39852.82</w:t>
            </w:r>
          </w:p>
        </w:tc>
      </w:tr>
      <w:tr w:rsidR="009A3751" w:rsidTr="009A3751">
        <w:tc>
          <w:tcPr>
            <w:tcW w:w="4565" w:type="dxa"/>
          </w:tcPr>
          <w:p w:rsidR="009A3751" w:rsidRPr="00A72120" w:rsidRDefault="009A3751" w:rsidP="009A3751">
            <w:pPr>
              <w:spacing w:line="360" w:lineRule="auto"/>
              <w:rPr>
                <w:rFonts w:ascii="宋体" w:eastAsia="宋体" w:hAnsi="宋体" w:cs="Times New Roman"/>
                <w:szCs w:val="21"/>
              </w:rPr>
            </w:pPr>
            <w:r w:rsidRPr="00215B87">
              <w:rPr>
                <w:rFonts w:hint="eastAsia"/>
              </w:rPr>
              <w:lastRenderedPageBreak/>
              <w:t>华泰柏瑞轮动精选混合型证券投资基金</w:t>
            </w:r>
          </w:p>
        </w:tc>
        <w:tc>
          <w:tcPr>
            <w:tcW w:w="1843"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3056</w:t>
            </w:r>
          </w:p>
        </w:tc>
        <w:tc>
          <w:tcPr>
            <w:tcW w:w="1780"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66406.88</w:t>
            </w:r>
          </w:p>
        </w:tc>
      </w:tr>
      <w:tr w:rsidR="009A3751" w:rsidTr="009A3751">
        <w:tc>
          <w:tcPr>
            <w:tcW w:w="4565" w:type="dxa"/>
          </w:tcPr>
          <w:p w:rsidR="009A3751" w:rsidRPr="00A72120" w:rsidRDefault="009A3751" w:rsidP="009A3751">
            <w:pPr>
              <w:spacing w:line="360" w:lineRule="auto"/>
              <w:rPr>
                <w:rFonts w:ascii="宋体" w:eastAsia="宋体" w:hAnsi="宋体" w:cs="Times New Roman"/>
                <w:szCs w:val="21"/>
              </w:rPr>
            </w:pPr>
            <w:r w:rsidRPr="00215B87">
              <w:rPr>
                <w:rFonts w:hint="eastAsia"/>
              </w:rPr>
              <w:t>华泰柏瑞招享</w:t>
            </w:r>
            <w:r w:rsidRPr="00215B87">
              <w:rPr>
                <w:rFonts w:hint="eastAsia"/>
              </w:rPr>
              <w:t>6</w:t>
            </w:r>
            <w:r w:rsidRPr="00215B87">
              <w:rPr>
                <w:rFonts w:hint="eastAsia"/>
              </w:rPr>
              <w:t>个月持有期混合型证券投资基金</w:t>
            </w:r>
          </w:p>
        </w:tc>
        <w:tc>
          <w:tcPr>
            <w:tcW w:w="1843"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3056</w:t>
            </w:r>
          </w:p>
        </w:tc>
        <w:tc>
          <w:tcPr>
            <w:tcW w:w="1780"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66406.88</w:t>
            </w:r>
          </w:p>
        </w:tc>
      </w:tr>
      <w:tr w:rsidR="009A3751" w:rsidTr="009A3751">
        <w:tc>
          <w:tcPr>
            <w:tcW w:w="4565" w:type="dxa"/>
          </w:tcPr>
          <w:p w:rsidR="009A3751" w:rsidRPr="00A72120" w:rsidRDefault="009A3751" w:rsidP="009A3751">
            <w:pPr>
              <w:spacing w:line="360" w:lineRule="auto"/>
              <w:rPr>
                <w:rFonts w:ascii="宋体" w:eastAsia="宋体" w:hAnsi="宋体" w:cs="Times New Roman"/>
                <w:szCs w:val="21"/>
              </w:rPr>
            </w:pPr>
            <w:r w:rsidRPr="00215B87">
              <w:rPr>
                <w:rFonts w:hint="eastAsia"/>
              </w:rPr>
              <w:t>华泰柏瑞均衡成长混合型证券投资基金</w:t>
            </w:r>
          </w:p>
        </w:tc>
        <w:tc>
          <w:tcPr>
            <w:tcW w:w="1843"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1987</w:t>
            </w:r>
          </w:p>
        </w:tc>
        <w:tc>
          <w:tcPr>
            <w:tcW w:w="1780"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43177.51</w:t>
            </w:r>
          </w:p>
        </w:tc>
      </w:tr>
      <w:tr w:rsidR="009A3751" w:rsidTr="009A3751">
        <w:tc>
          <w:tcPr>
            <w:tcW w:w="4565" w:type="dxa"/>
          </w:tcPr>
          <w:p w:rsidR="009A3751" w:rsidRPr="00A72120" w:rsidRDefault="009A3751" w:rsidP="009A3751">
            <w:pPr>
              <w:spacing w:line="360" w:lineRule="auto"/>
              <w:rPr>
                <w:rFonts w:ascii="宋体" w:eastAsia="宋体" w:hAnsi="宋体" w:cs="Times New Roman"/>
                <w:szCs w:val="21"/>
              </w:rPr>
            </w:pPr>
            <w:r w:rsidRPr="00215B87">
              <w:rPr>
                <w:rFonts w:hint="eastAsia"/>
              </w:rPr>
              <w:t>华泰柏瑞中证</w:t>
            </w:r>
            <w:r w:rsidRPr="00215B87">
              <w:rPr>
                <w:rFonts w:hint="eastAsia"/>
              </w:rPr>
              <w:t>1000</w:t>
            </w:r>
            <w:r w:rsidRPr="00215B87">
              <w:rPr>
                <w:rFonts w:hint="eastAsia"/>
              </w:rPr>
              <w:t>指数增强型证券投资基金</w:t>
            </w:r>
          </w:p>
        </w:tc>
        <w:tc>
          <w:tcPr>
            <w:tcW w:w="1843"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2934</w:t>
            </w:r>
          </w:p>
        </w:tc>
        <w:tc>
          <w:tcPr>
            <w:tcW w:w="1780"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63755.82</w:t>
            </w:r>
          </w:p>
        </w:tc>
      </w:tr>
      <w:tr w:rsidR="009A3751" w:rsidTr="009A3751">
        <w:tc>
          <w:tcPr>
            <w:tcW w:w="4565" w:type="dxa"/>
          </w:tcPr>
          <w:p w:rsidR="009A3751" w:rsidRPr="00A72120" w:rsidRDefault="009A3751" w:rsidP="009A3751">
            <w:pPr>
              <w:spacing w:line="360" w:lineRule="auto"/>
              <w:rPr>
                <w:rFonts w:ascii="宋体" w:eastAsia="宋体" w:hAnsi="宋体" w:cs="Times New Roman"/>
                <w:szCs w:val="21"/>
              </w:rPr>
            </w:pPr>
            <w:r w:rsidRPr="00215B87">
              <w:rPr>
                <w:rFonts w:hint="eastAsia"/>
              </w:rPr>
              <w:t>华泰柏瑞盛世中国混合型证券投资基金</w:t>
            </w:r>
          </w:p>
        </w:tc>
        <w:tc>
          <w:tcPr>
            <w:tcW w:w="1843"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3056</w:t>
            </w:r>
          </w:p>
        </w:tc>
        <w:tc>
          <w:tcPr>
            <w:tcW w:w="1780" w:type="dxa"/>
            <w:vAlign w:val="bottom"/>
          </w:tcPr>
          <w:p w:rsidR="009A3751" w:rsidRPr="009A3751" w:rsidRDefault="009A3751" w:rsidP="009A3751">
            <w:pPr>
              <w:spacing w:line="360" w:lineRule="auto"/>
              <w:jc w:val="right"/>
              <w:rPr>
                <w:rFonts w:eastAsia="宋体" w:cstheme="minorHAnsi"/>
                <w:szCs w:val="21"/>
              </w:rPr>
            </w:pPr>
            <w:r w:rsidRPr="009A3751">
              <w:rPr>
                <w:rFonts w:cstheme="minorHAnsi"/>
                <w:szCs w:val="21"/>
              </w:rPr>
              <w:t>66406.88</w:t>
            </w:r>
          </w:p>
        </w:tc>
      </w:tr>
      <w:tr w:rsidR="009A3751" w:rsidTr="009A3751">
        <w:tc>
          <w:tcPr>
            <w:tcW w:w="4565" w:type="dxa"/>
          </w:tcPr>
          <w:p w:rsidR="009A3751" w:rsidRPr="00A72120" w:rsidRDefault="009A3751" w:rsidP="009A3751">
            <w:pPr>
              <w:spacing w:line="360" w:lineRule="auto"/>
              <w:rPr>
                <w:rFonts w:ascii="宋体" w:eastAsia="宋体" w:hAnsi="宋体" w:cs="Times New Roman"/>
                <w:szCs w:val="21"/>
              </w:rPr>
            </w:pPr>
            <w:r w:rsidRPr="00215B87">
              <w:rPr>
                <w:rFonts w:hint="eastAsia"/>
              </w:rPr>
              <w:t>华泰柏瑞积极成长混合型证券投资基金</w:t>
            </w:r>
          </w:p>
        </w:tc>
        <w:tc>
          <w:tcPr>
            <w:tcW w:w="1843" w:type="dxa"/>
            <w:vAlign w:val="bottom"/>
          </w:tcPr>
          <w:p w:rsidR="009A3751" w:rsidRPr="009A3751" w:rsidRDefault="009A3751" w:rsidP="009A3751">
            <w:pPr>
              <w:spacing w:line="360" w:lineRule="auto"/>
              <w:jc w:val="right"/>
              <w:rPr>
                <w:rFonts w:eastAsia="宋体" w:cstheme="minorHAnsi"/>
                <w:color w:val="333333"/>
                <w:szCs w:val="21"/>
              </w:rPr>
            </w:pPr>
            <w:r w:rsidRPr="009A3751">
              <w:rPr>
                <w:rFonts w:cstheme="minorHAnsi"/>
                <w:szCs w:val="21"/>
              </w:rPr>
              <w:t>3056</w:t>
            </w:r>
          </w:p>
        </w:tc>
        <w:tc>
          <w:tcPr>
            <w:tcW w:w="1780" w:type="dxa"/>
            <w:vAlign w:val="bottom"/>
          </w:tcPr>
          <w:p w:rsidR="009A3751" w:rsidRPr="009A3751" w:rsidRDefault="009A3751" w:rsidP="009A3751">
            <w:pPr>
              <w:spacing w:line="360" w:lineRule="auto"/>
              <w:ind w:right="10"/>
              <w:jc w:val="right"/>
              <w:rPr>
                <w:rFonts w:eastAsia="宋体" w:cstheme="minorHAnsi"/>
                <w:color w:val="333333"/>
                <w:szCs w:val="21"/>
              </w:rPr>
            </w:pPr>
            <w:r w:rsidRPr="009A3751">
              <w:rPr>
                <w:rFonts w:cstheme="minorHAnsi"/>
                <w:szCs w:val="21"/>
              </w:rPr>
              <w:t>66406.88</w:t>
            </w:r>
          </w:p>
        </w:tc>
      </w:tr>
      <w:tr w:rsidR="009A3751" w:rsidTr="009A3751">
        <w:tc>
          <w:tcPr>
            <w:tcW w:w="4565" w:type="dxa"/>
          </w:tcPr>
          <w:p w:rsidR="009A3751" w:rsidRPr="00A72120" w:rsidRDefault="009A3751" w:rsidP="009A3751">
            <w:pPr>
              <w:spacing w:line="360" w:lineRule="auto"/>
              <w:rPr>
                <w:rFonts w:ascii="宋体" w:eastAsia="宋体" w:hAnsi="宋体" w:cs="Times New Roman"/>
                <w:szCs w:val="21"/>
              </w:rPr>
            </w:pPr>
            <w:r w:rsidRPr="00215B87">
              <w:rPr>
                <w:rFonts w:hint="eastAsia"/>
              </w:rPr>
              <w:t>华泰柏瑞价值增长混合型证券投资基金</w:t>
            </w:r>
          </w:p>
        </w:tc>
        <w:tc>
          <w:tcPr>
            <w:tcW w:w="1843" w:type="dxa"/>
            <w:vAlign w:val="bottom"/>
          </w:tcPr>
          <w:p w:rsidR="009A3751" w:rsidRPr="009A3751" w:rsidRDefault="009A3751" w:rsidP="009A3751">
            <w:pPr>
              <w:spacing w:line="360" w:lineRule="auto"/>
              <w:jc w:val="right"/>
              <w:rPr>
                <w:rFonts w:eastAsia="宋体" w:cstheme="minorHAnsi"/>
                <w:color w:val="333333"/>
                <w:szCs w:val="21"/>
              </w:rPr>
            </w:pPr>
            <w:r w:rsidRPr="009A3751">
              <w:rPr>
                <w:rFonts w:cstheme="minorHAnsi"/>
                <w:szCs w:val="21"/>
              </w:rPr>
              <w:t>3056</w:t>
            </w:r>
          </w:p>
        </w:tc>
        <w:tc>
          <w:tcPr>
            <w:tcW w:w="1780" w:type="dxa"/>
            <w:vAlign w:val="bottom"/>
          </w:tcPr>
          <w:p w:rsidR="009A3751" w:rsidRPr="009A3751" w:rsidRDefault="009A3751" w:rsidP="009A3751">
            <w:pPr>
              <w:spacing w:line="360" w:lineRule="auto"/>
              <w:jc w:val="right"/>
              <w:rPr>
                <w:rFonts w:eastAsia="宋体" w:cstheme="minorHAnsi"/>
                <w:color w:val="333333"/>
                <w:szCs w:val="21"/>
              </w:rPr>
            </w:pPr>
            <w:r w:rsidRPr="009A3751">
              <w:rPr>
                <w:rFonts w:cstheme="minorHAnsi"/>
                <w:szCs w:val="21"/>
              </w:rPr>
              <w:t>66406.88</w:t>
            </w:r>
          </w:p>
        </w:tc>
      </w:tr>
      <w:tr w:rsidR="009A3751" w:rsidTr="009A3751">
        <w:tc>
          <w:tcPr>
            <w:tcW w:w="4565" w:type="dxa"/>
          </w:tcPr>
          <w:p w:rsidR="009A3751" w:rsidRPr="00613D8A" w:rsidRDefault="009A3751" w:rsidP="009A3751">
            <w:pPr>
              <w:spacing w:line="360" w:lineRule="auto"/>
              <w:rPr>
                <w:rFonts w:ascii="宋体" w:eastAsia="宋体" w:hAnsi="宋体" w:cs="Times New Roman"/>
                <w:szCs w:val="21"/>
              </w:rPr>
            </w:pPr>
            <w:r w:rsidRPr="00215B87">
              <w:rPr>
                <w:rFonts w:hint="eastAsia"/>
              </w:rPr>
              <w:t>华泰柏瑞行业领先混合型证券投资基金</w:t>
            </w:r>
          </w:p>
        </w:tc>
        <w:tc>
          <w:tcPr>
            <w:tcW w:w="1843" w:type="dxa"/>
            <w:vAlign w:val="bottom"/>
          </w:tcPr>
          <w:p w:rsidR="009A3751" w:rsidRPr="009A3751" w:rsidRDefault="009A3751" w:rsidP="009A3751">
            <w:pPr>
              <w:spacing w:line="360" w:lineRule="auto"/>
              <w:jc w:val="right"/>
              <w:rPr>
                <w:rFonts w:eastAsia="宋体" w:cstheme="minorHAnsi"/>
                <w:color w:val="333333"/>
                <w:szCs w:val="21"/>
              </w:rPr>
            </w:pPr>
            <w:r w:rsidRPr="009A3751">
              <w:rPr>
                <w:rFonts w:cstheme="minorHAnsi"/>
                <w:szCs w:val="21"/>
              </w:rPr>
              <w:t>1864</w:t>
            </w:r>
          </w:p>
        </w:tc>
        <w:tc>
          <w:tcPr>
            <w:tcW w:w="1780" w:type="dxa"/>
            <w:vAlign w:val="bottom"/>
          </w:tcPr>
          <w:p w:rsidR="009A3751" w:rsidRPr="009A3751" w:rsidRDefault="009A3751" w:rsidP="009A3751">
            <w:pPr>
              <w:spacing w:line="360" w:lineRule="auto"/>
              <w:jc w:val="right"/>
              <w:rPr>
                <w:rFonts w:eastAsia="宋体" w:cstheme="minorHAnsi"/>
                <w:color w:val="333333"/>
                <w:szCs w:val="21"/>
              </w:rPr>
            </w:pPr>
            <w:r w:rsidRPr="009A3751">
              <w:rPr>
                <w:rFonts w:cstheme="minorHAnsi"/>
                <w:szCs w:val="21"/>
              </w:rPr>
              <w:t>40504.72</w:t>
            </w:r>
          </w:p>
        </w:tc>
      </w:tr>
      <w:tr w:rsidR="009A3751" w:rsidTr="009A3751">
        <w:tc>
          <w:tcPr>
            <w:tcW w:w="4565" w:type="dxa"/>
          </w:tcPr>
          <w:p w:rsidR="009A3751" w:rsidRPr="00613D8A" w:rsidRDefault="009A3751" w:rsidP="009A3751">
            <w:pPr>
              <w:spacing w:line="360" w:lineRule="auto"/>
              <w:rPr>
                <w:rFonts w:ascii="宋体" w:eastAsia="宋体" w:hAnsi="宋体" w:cs="Times New Roman"/>
                <w:szCs w:val="21"/>
              </w:rPr>
            </w:pPr>
            <w:r w:rsidRPr="00215B87">
              <w:rPr>
                <w:rFonts w:hint="eastAsia"/>
              </w:rPr>
              <w:t>华泰柏瑞量化先行混合型证券投资基金</w:t>
            </w:r>
          </w:p>
        </w:tc>
        <w:tc>
          <w:tcPr>
            <w:tcW w:w="1843" w:type="dxa"/>
            <w:vAlign w:val="bottom"/>
          </w:tcPr>
          <w:p w:rsidR="009A3751" w:rsidRPr="009A3751" w:rsidRDefault="009A3751" w:rsidP="009A3751">
            <w:pPr>
              <w:spacing w:line="360" w:lineRule="auto"/>
              <w:jc w:val="right"/>
              <w:rPr>
                <w:rFonts w:eastAsia="宋体" w:cstheme="minorHAnsi"/>
                <w:color w:val="333333"/>
                <w:szCs w:val="21"/>
              </w:rPr>
            </w:pPr>
            <w:r w:rsidRPr="009A3751">
              <w:rPr>
                <w:rFonts w:cstheme="minorHAnsi"/>
                <w:szCs w:val="21"/>
              </w:rPr>
              <w:t>3056</w:t>
            </w:r>
          </w:p>
        </w:tc>
        <w:tc>
          <w:tcPr>
            <w:tcW w:w="1780" w:type="dxa"/>
            <w:vAlign w:val="bottom"/>
          </w:tcPr>
          <w:p w:rsidR="009A3751" w:rsidRPr="009A3751" w:rsidRDefault="009A3751" w:rsidP="009A3751">
            <w:pPr>
              <w:spacing w:line="360" w:lineRule="auto"/>
              <w:jc w:val="right"/>
              <w:rPr>
                <w:rFonts w:eastAsia="宋体" w:cstheme="minorHAnsi"/>
                <w:color w:val="333333"/>
                <w:szCs w:val="21"/>
              </w:rPr>
            </w:pPr>
            <w:r w:rsidRPr="009A3751">
              <w:rPr>
                <w:rFonts w:cstheme="minorHAnsi"/>
                <w:szCs w:val="21"/>
              </w:rPr>
              <w:t>66406.88</w:t>
            </w:r>
          </w:p>
        </w:tc>
      </w:tr>
      <w:tr w:rsidR="009A3751" w:rsidTr="009A3751">
        <w:tc>
          <w:tcPr>
            <w:tcW w:w="4565" w:type="dxa"/>
          </w:tcPr>
          <w:p w:rsidR="009A3751" w:rsidRPr="00613D8A" w:rsidRDefault="009A3751" w:rsidP="009A3751">
            <w:pPr>
              <w:spacing w:line="360" w:lineRule="auto"/>
              <w:rPr>
                <w:rFonts w:ascii="宋体" w:eastAsia="宋体" w:hAnsi="宋体" w:cs="Times New Roman"/>
                <w:szCs w:val="21"/>
              </w:rPr>
            </w:pPr>
            <w:r w:rsidRPr="00135F85">
              <w:rPr>
                <w:rFonts w:hint="eastAsia"/>
              </w:rPr>
              <w:t>华泰柏瑞沪深</w:t>
            </w:r>
            <w:r w:rsidRPr="00135F85">
              <w:rPr>
                <w:rFonts w:hint="eastAsia"/>
              </w:rPr>
              <w:t>300</w:t>
            </w:r>
            <w:r w:rsidRPr="00135F85">
              <w:rPr>
                <w:rFonts w:hint="eastAsia"/>
              </w:rPr>
              <w:t>交易型开放式指数证券投资基金</w:t>
            </w:r>
          </w:p>
        </w:tc>
        <w:tc>
          <w:tcPr>
            <w:tcW w:w="1843" w:type="dxa"/>
            <w:vAlign w:val="bottom"/>
          </w:tcPr>
          <w:p w:rsidR="009A3751" w:rsidRPr="009A3751" w:rsidRDefault="009A3751" w:rsidP="009A3751">
            <w:pPr>
              <w:spacing w:line="360" w:lineRule="auto"/>
              <w:jc w:val="right"/>
              <w:rPr>
                <w:rFonts w:eastAsia="宋体" w:cstheme="minorHAnsi"/>
                <w:color w:val="333333"/>
                <w:sz w:val="18"/>
                <w:szCs w:val="21"/>
              </w:rPr>
            </w:pPr>
            <w:r w:rsidRPr="009A3751">
              <w:rPr>
                <w:rFonts w:ascii="Arial" w:hAnsi="Arial" w:cs="Arial"/>
                <w:sz w:val="18"/>
                <w:szCs w:val="20"/>
              </w:rPr>
              <w:t>3056</w:t>
            </w:r>
          </w:p>
        </w:tc>
        <w:tc>
          <w:tcPr>
            <w:tcW w:w="1780" w:type="dxa"/>
            <w:vAlign w:val="bottom"/>
          </w:tcPr>
          <w:p w:rsidR="009A3751" w:rsidRPr="009A3751" w:rsidRDefault="009A3751" w:rsidP="009A3751">
            <w:pPr>
              <w:spacing w:line="360" w:lineRule="auto"/>
              <w:jc w:val="right"/>
              <w:rPr>
                <w:rFonts w:eastAsia="宋体" w:cstheme="minorHAnsi"/>
                <w:color w:val="333333"/>
                <w:sz w:val="18"/>
                <w:szCs w:val="21"/>
              </w:rPr>
            </w:pPr>
            <w:r w:rsidRPr="009A3751">
              <w:rPr>
                <w:rFonts w:ascii="Arial" w:hAnsi="Arial" w:cs="Arial"/>
                <w:sz w:val="18"/>
                <w:szCs w:val="20"/>
              </w:rPr>
              <w:t>66406.88</w:t>
            </w:r>
          </w:p>
        </w:tc>
      </w:tr>
      <w:tr w:rsidR="009A3751" w:rsidTr="009A3751">
        <w:tc>
          <w:tcPr>
            <w:tcW w:w="4565" w:type="dxa"/>
          </w:tcPr>
          <w:p w:rsidR="009A3751" w:rsidRPr="00613D8A" w:rsidRDefault="009A3751" w:rsidP="009A3751">
            <w:pPr>
              <w:spacing w:line="360" w:lineRule="auto"/>
              <w:rPr>
                <w:rFonts w:ascii="宋体" w:eastAsia="宋体" w:hAnsi="宋体" w:cs="Times New Roman"/>
                <w:szCs w:val="21"/>
              </w:rPr>
            </w:pPr>
            <w:r w:rsidRPr="00135F85">
              <w:rPr>
                <w:rFonts w:hint="eastAsia"/>
              </w:rPr>
              <w:t>华泰柏瑞中证</w:t>
            </w:r>
            <w:r w:rsidRPr="00135F85">
              <w:rPr>
                <w:rFonts w:hint="eastAsia"/>
              </w:rPr>
              <w:t>500</w:t>
            </w:r>
            <w:r w:rsidRPr="00135F85">
              <w:rPr>
                <w:rFonts w:hint="eastAsia"/>
              </w:rPr>
              <w:t>交易型开放式指数证券投资基金</w:t>
            </w:r>
          </w:p>
        </w:tc>
        <w:tc>
          <w:tcPr>
            <w:tcW w:w="1843" w:type="dxa"/>
            <w:vAlign w:val="bottom"/>
          </w:tcPr>
          <w:p w:rsidR="009A3751" w:rsidRPr="009A3751" w:rsidRDefault="009A3751" w:rsidP="009A3751">
            <w:pPr>
              <w:spacing w:line="360" w:lineRule="auto"/>
              <w:jc w:val="right"/>
              <w:rPr>
                <w:rFonts w:eastAsia="宋体" w:cstheme="minorHAnsi"/>
                <w:color w:val="333333"/>
                <w:sz w:val="18"/>
                <w:szCs w:val="21"/>
              </w:rPr>
            </w:pPr>
            <w:r w:rsidRPr="009A3751">
              <w:rPr>
                <w:rFonts w:ascii="Arial" w:hAnsi="Arial" w:cs="Arial"/>
                <w:sz w:val="18"/>
                <w:szCs w:val="20"/>
              </w:rPr>
              <w:t>3056</w:t>
            </w:r>
          </w:p>
        </w:tc>
        <w:tc>
          <w:tcPr>
            <w:tcW w:w="1780" w:type="dxa"/>
            <w:vAlign w:val="bottom"/>
          </w:tcPr>
          <w:p w:rsidR="009A3751" w:rsidRPr="009A3751" w:rsidRDefault="009A3751" w:rsidP="009A3751">
            <w:pPr>
              <w:spacing w:line="360" w:lineRule="auto"/>
              <w:jc w:val="right"/>
              <w:rPr>
                <w:rFonts w:eastAsia="宋体" w:cstheme="minorHAnsi"/>
                <w:color w:val="333333"/>
                <w:sz w:val="18"/>
                <w:szCs w:val="21"/>
              </w:rPr>
            </w:pPr>
            <w:r w:rsidRPr="009A3751">
              <w:rPr>
                <w:rFonts w:ascii="Arial" w:hAnsi="Arial" w:cs="Arial"/>
                <w:sz w:val="18"/>
                <w:szCs w:val="20"/>
              </w:rPr>
              <w:t>66406.88</w:t>
            </w:r>
          </w:p>
        </w:tc>
      </w:tr>
      <w:tr w:rsidR="009A3751" w:rsidTr="009A3751">
        <w:tc>
          <w:tcPr>
            <w:tcW w:w="4565" w:type="dxa"/>
          </w:tcPr>
          <w:p w:rsidR="009A3751" w:rsidRPr="00613D8A" w:rsidRDefault="009A3751" w:rsidP="009A3751">
            <w:pPr>
              <w:spacing w:line="360" w:lineRule="auto"/>
              <w:rPr>
                <w:rFonts w:ascii="宋体" w:eastAsia="宋体" w:hAnsi="宋体" w:cs="Times New Roman"/>
                <w:szCs w:val="21"/>
              </w:rPr>
            </w:pPr>
            <w:r w:rsidRPr="00135F85">
              <w:rPr>
                <w:rFonts w:hint="eastAsia"/>
              </w:rPr>
              <w:t>华泰柏瑞中证红利低波动交易型开放式指数证券投资基金</w:t>
            </w:r>
          </w:p>
        </w:tc>
        <w:tc>
          <w:tcPr>
            <w:tcW w:w="1843" w:type="dxa"/>
            <w:vAlign w:val="bottom"/>
          </w:tcPr>
          <w:p w:rsidR="009A3751" w:rsidRPr="009A3751" w:rsidRDefault="009A3751" w:rsidP="009A3751">
            <w:pPr>
              <w:spacing w:line="360" w:lineRule="auto"/>
              <w:jc w:val="right"/>
              <w:rPr>
                <w:rFonts w:eastAsia="宋体" w:cstheme="minorHAnsi"/>
                <w:color w:val="333333"/>
                <w:sz w:val="18"/>
                <w:szCs w:val="21"/>
              </w:rPr>
            </w:pPr>
            <w:r w:rsidRPr="009A3751">
              <w:rPr>
                <w:rFonts w:ascii="Arial" w:hAnsi="Arial" w:cs="Arial"/>
                <w:sz w:val="18"/>
                <w:szCs w:val="20"/>
              </w:rPr>
              <w:t>3056</w:t>
            </w:r>
          </w:p>
        </w:tc>
        <w:tc>
          <w:tcPr>
            <w:tcW w:w="1780" w:type="dxa"/>
            <w:vAlign w:val="bottom"/>
          </w:tcPr>
          <w:p w:rsidR="009A3751" w:rsidRPr="009A3751" w:rsidRDefault="009A3751" w:rsidP="009A3751">
            <w:pPr>
              <w:spacing w:line="360" w:lineRule="auto"/>
              <w:jc w:val="right"/>
              <w:rPr>
                <w:rFonts w:eastAsia="宋体" w:cstheme="minorHAnsi"/>
                <w:color w:val="333333"/>
                <w:sz w:val="18"/>
                <w:szCs w:val="21"/>
              </w:rPr>
            </w:pPr>
            <w:r w:rsidRPr="009A3751">
              <w:rPr>
                <w:rFonts w:ascii="Arial" w:hAnsi="Arial" w:cs="Arial"/>
                <w:sz w:val="18"/>
                <w:szCs w:val="20"/>
              </w:rPr>
              <w:t>66406.88</w:t>
            </w:r>
          </w:p>
        </w:tc>
      </w:tr>
      <w:tr w:rsidR="009A3751" w:rsidTr="009A3751">
        <w:tc>
          <w:tcPr>
            <w:tcW w:w="4565" w:type="dxa"/>
          </w:tcPr>
          <w:p w:rsidR="009A3751" w:rsidRPr="00613D8A" w:rsidRDefault="009A3751" w:rsidP="009A3751">
            <w:pPr>
              <w:spacing w:line="360" w:lineRule="auto"/>
              <w:rPr>
                <w:rFonts w:ascii="宋体" w:eastAsia="宋体" w:hAnsi="宋体" w:cs="Times New Roman"/>
                <w:szCs w:val="21"/>
              </w:rPr>
            </w:pPr>
            <w:r w:rsidRPr="00135F85">
              <w:rPr>
                <w:rFonts w:hint="eastAsia"/>
              </w:rPr>
              <w:t>华泰柏瑞中证科技</w:t>
            </w:r>
            <w:r w:rsidRPr="00135F85">
              <w:rPr>
                <w:rFonts w:hint="eastAsia"/>
              </w:rPr>
              <w:t>100</w:t>
            </w:r>
            <w:r w:rsidRPr="00135F85">
              <w:rPr>
                <w:rFonts w:hint="eastAsia"/>
              </w:rPr>
              <w:t>交易型开放式指数证券投资基金</w:t>
            </w:r>
          </w:p>
        </w:tc>
        <w:tc>
          <w:tcPr>
            <w:tcW w:w="1843" w:type="dxa"/>
            <w:vAlign w:val="bottom"/>
          </w:tcPr>
          <w:p w:rsidR="009A3751" w:rsidRPr="009A3751" w:rsidRDefault="009A3751" w:rsidP="009A3751">
            <w:pPr>
              <w:spacing w:line="360" w:lineRule="auto"/>
              <w:jc w:val="right"/>
              <w:rPr>
                <w:rFonts w:eastAsia="宋体" w:cstheme="minorHAnsi"/>
                <w:color w:val="333333"/>
                <w:sz w:val="18"/>
                <w:szCs w:val="21"/>
              </w:rPr>
            </w:pPr>
            <w:r w:rsidRPr="009A3751">
              <w:rPr>
                <w:rFonts w:ascii="Arial" w:hAnsi="Arial" w:cs="Arial"/>
                <w:sz w:val="18"/>
                <w:szCs w:val="20"/>
              </w:rPr>
              <w:t>3056</w:t>
            </w:r>
          </w:p>
        </w:tc>
        <w:tc>
          <w:tcPr>
            <w:tcW w:w="1780" w:type="dxa"/>
            <w:vAlign w:val="bottom"/>
          </w:tcPr>
          <w:p w:rsidR="009A3751" w:rsidRPr="009A3751" w:rsidRDefault="009A3751" w:rsidP="009A3751">
            <w:pPr>
              <w:spacing w:line="360" w:lineRule="auto"/>
              <w:jc w:val="right"/>
              <w:rPr>
                <w:rFonts w:eastAsia="宋体" w:cstheme="minorHAnsi"/>
                <w:color w:val="333333"/>
                <w:sz w:val="18"/>
                <w:szCs w:val="21"/>
              </w:rPr>
            </w:pPr>
            <w:r w:rsidRPr="009A3751">
              <w:rPr>
                <w:rFonts w:ascii="Arial" w:hAnsi="Arial" w:cs="Arial"/>
                <w:sz w:val="18"/>
                <w:szCs w:val="20"/>
              </w:rPr>
              <w:t>66406.88</w:t>
            </w:r>
          </w:p>
        </w:tc>
      </w:tr>
      <w:tr w:rsidR="009A3751" w:rsidTr="009A3751">
        <w:tc>
          <w:tcPr>
            <w:tcW w:w="4565" w:type="dxa"/>
          </w:tcPr>
          <w:p w:rsidR="009A3751" w:rsidRPr="00613D8A" w:rsidRDefault="009A3751" w:rsidP="009A3751">
            <w:pPr>
              <w:spacing w:line="360" w:lineRule="auto"/>
              <w:rPr>
                <w:rFonts w:ascii="宋体" w:eastAsia="宋体" w:hAnsi="宋体" w:cs="Times New Roman"/>
                <w:szCs w:val="21"/>
              </w:rPr>
            </w:pPr>
            <w:r w:rsidRPr="00135F85">
              <w:rPr>
                <w:rFonts w:hint="eastAsia"/>
              </w:rPr>
              <w:t>华泰柏瑞中证光伏产业交易型开放式指数证券投资基金</w:t>
            </w:r>
          </w:p>
        </w:tc>
        <w:tc>
          <w:tcPr>
            <w:tcW w:w="1843" w:type="dxa"/>
            <w:vAlign w:val="bottom"/>
          </w:tcPr>
          <w:p w:rsidR="009A3751" w:rsidRPr="009A3751" w:rsidRDefault="009A3751" w:rsidP="009A3751">
            <w:pPr>
              <w:spacing w:line="360" w:lineRule="auto"/>
              <w:jc w:val="right"/>
              <w:rPr>
                <w:rFonts w:eastAsia="宋体" w:cstheme="minorHAnsi"/>
                <w:color w:val="333333"/>
                <w:sz w:val="18"/>
                <w:szCs w:val="21"/>
              </w:rPr>
            </w:pPr>
            <w:r w:rsidRPr="009A3751">
              <w:rPr>
                <w:rFonts w:ascii="Arial" w:hAnsi="Arial" w:cs="Arial"/>
                <w:sz w:val="18"/>
                <w:szCs w:val="20"/>
              </w:rPr>
              <w:t>3056</w:t>
            </w:r>
          </w:p>
        </w:tc>
        <w:tc>
          <w:tcPr>
            <w:tcW w:w="1780" w:type="dxa"/>
            <w:vAlign w:val="bottom"/>
          </w:tcPr>
          <w:p w:rsidR="009A3751" w:rsidRPr="009A3751" w:rsidRDefault="009A3751" w:rsidP="009A3751">
            <w:pPr>
              <w:spacing w:line="360" w:lineRule="auto"/>
              <w:jc w:val="right"/>
              <w:rPr>
                <w:rFonts w:eastAsia="宋体" w:cstheme="minorHAnsi"/>
                <w:color w:val="333333"/>
                <w:sz w:val="18"/>
                <w:szCs w:val="21"/>
              </w:rPr>
            </w:pPr>
            <w:r w:rsidRPr="009A3751">
              <w:rPr>
                <w:rFonts w:ascii="Arial" w:hAnsi="Arial" w:cs="Arial"/>
                <w:sz w:val="18"/>
                <w:szCs w:val="20"/>
              </w:rPr>
              <w:t>66406.88</w:t>
            </w:r>
          </w:p>
        </w:tc>
      </w:tr>
      <w:tr w:rsidR="009A3751" w:rsidTr="009A3751">
        <w:tc>
          <w:tcPr>
            <w:tcW w:w="4565" w:type="dxa"/>
          </w:tcPr>
          <w:p w:rsidR="009A3751" w:rsidRPr="00613D8A" w:rsidRDefault="009A3751" w:rsidP="009A3751">
            <w:pPr>
              <w:spacing w:line="360" w:lineRule="auto"/>
              <w:rPr>
                <w:rFonts w:ascii="宋体" w:eastAsia="宋体" w:hAnsi="宋体" w:cs="Times New Roman"/>
                <w:szCs w:val="21"/>
              </w:rPr>
            </w:pPr>
            <w:r w:rsidRPr="00135F85">
              <w:rPr>
                <w:rFonts w:hint="eastAsia"/>
              </w:rPr>
              <w:t>华泰柏瑞中证</w:t>
            </w:r>
            <w:r w:rsidRPr="00135F85">
              <w:rPr>
                <w:rFonts w:hint="eastAsia"/>
              </w:rPr>
              <w:t>1000</w:t>
            </w:r>
            <w:r w:rsidRPr="00135F85">
              <w:rPr>
                <w:rFonts w:hint="eastAsia"/>
              </w:rPr>
              <w:t>交易型开放式指数证券投资基金</w:t>
            </w:r>
          </w:p>
        </w:tc>
        <w:tc>
          <w:tcPr>
            <w:tcW w:w="1843" w:type="dxa"/>
            <w:vAlign w:val="bottom"/>
          </w:tcPr>
          <w:p w:rsidR="009A3751" w:rsidRPr="009A3751" w:rsidRDefault="009A3751" w:rsidP="009A3751">
            <w:pPr>
              <w:spacing w:line="360" w:lineRule="auto"/>
              <w:jc w:val="right"/>
              <w:rPr>
                <w:rFonts w:eastAsia="宋体" w:cstheme="minorHAnsi"/>
                <w:color w:val="333333"/>
                <w:sz w:val="18"/>
                <w:szCs w:val="21"/>
              </w:rPr>
            </w:pPr>
            <w:r w:rsidRPr="009A3751">
              <w:rPr>
                <w:rFonts w:ascii="Arial" w:hAnsi="Arial" w:cs="Arial"/>
                <w:sz w:val="18"/>
                <w:szCs w:val="20"/>
              </w:rPr>
              <w:t>1559</w:t>
            </w:r>
          </w:p>
        </w:tc>
        <w:tc>
          <w:tcPr>
            <w:tcW w:w="1780" w:type="dxa"/>
            <w:vAlign w:val="bottom"/>
          </w:tcPr>
          <w:p w:rsidR="009A3751" w:rsidRPr="009A3751" w:rsidRDefault="009A3751" w:rsidP="009A3751">
            <w:pPr>
              <w:spacing w:line="360" w:lineRule="auto"/>
              <w:jc w:val="right"/>
              <w:rPr>
                <w:rFonts w:eastAsia="宋体" w:cstheme="minorHAnsi"/>
                <w:color w:val="333333"/>
                <w:sz w:val="18"/>
                <w:szCs w:val="21"/>
              </w:rPr>
            </w:pPr>
            <w:r w:rsidRPr="009A3751">
              <w:rPr>
                <w:rFonts w:ascii="Arial" w:hAnsi="Arial" w:cs="Arial"/>
                <w:sz w:val="18"/>
                <w:szCs w:val="20"/>
              </w:rPr>
              <w:t>33877.07</w:t>
            </w:r>
          </w:p>
        </w:tc>
      </w:tr>
      <w:tr w:rsidR="009A3751" w:rsidTr="009A3751">
        <w:tc>
          <w:tcPr>
            <w:tcW w:w="4565" w:type="dxa"/>
          </w:tcPr>
          <w:p w:rsidR="009A3751" w:rsidRPr="00613D8A" w:rsidRDefault="009A3751" w:rsidP="009A3751">
            <w:pPr>
              <w:spacing w:line="360" w:lineRule="auto"/>
              <w:rPr>
                <w:rFonts w:ascii="宋体" w:eastAsia="宋体" w:hAnsi="宋体"/>
                <w:color w:val="333333"/>
                <w:szCs w:val="21"/>
              </w:rPr>
            </w:pPr>
            <w:r w:rsidRPr="00135F85">
              <w:rPr>
                <w:rFonts w:hint="eastAsia"/>
              </w:rPr>
              <w:t>华泰柏瑞中证智能汽车主题交易型开放式指数证券投资基金</w:t>
            </w:r>
          </w:p>
        </w:tc>
        <w:tc>
          <w:tcPr>
            <w:tcW w:w="1843" w:type="dxa"/>
            <w:vAlign w:val="bottom"/>
          </w:tcPr>
          <w:p w:rsidR="009A3751" w:rsidRPr="009A3751" w:rsidRDefault="009A3751" w:rsidP="009A3751">
            <w:pPr>
              <w:spacing w:line="360" w:lineRule="auto"/>
              <w:jc w:val="right"/>
              <w:rPr>
                <w:rFonts w:eastAsia="宋体" w:cstheme="minorHAnsi"/>
                <w:color w:val="333333"/>
                <w:sz w:val="18"/>
                <w:szCs w:val="21"/>
              </w:rPr>
            </w:pPr>
            <w:r w:rsidRPr="009A3751">
              <w:rPr>
                <w:rFonts w:ascii="Arial" w:hAnsi="Arial" w:cs="Arial"/>
                <w:sz w:val="18"/>
                <w:szCs w:val="20"/>
              </w:rPr>
              <w:t>1711</w:t>
            </w:r>
          </w:p>
        </w:tc>
        <w:tc>
          <w:tcPr>
            <w:tcW w:w="1780" w:type="dxa"/>
            <w:vAlign w:val="bottom"/>
          </w:tcPr>
          <w:p w:rsidR="009A3751" w:rsidRPr="009A3751" w:rsidRDefault="009A3751" w:rsidP="009A3751">
            <w:pPr>
              <w:spacing w:line="360" w:lineRule="auto"/>
              <w:jc w:val="right"/>
              <w:rPr>
                <w:rFonts w:eastAsia="宋体" w:cstheme="minorHAnsi"/>
                <w:color w:val="333333"/>
                <w:sz w:val="18"/>
                <w:szCs w:val="21"/>
              </w:rPr>
            </w:pPr>
            <w:r w:rsidRPr="009A3751">
              <w:rPr>
                <w:rFonts w:ascii="Arial" w:hAnsi="Arial" w:cs="Arial"/>
                <w:sz w:val="18"/>
                <w:szCs w:val="20"/>
              </w:rPr>
              <w:t>37180.03</w:t>
            </w:r>
          </w:p>
        </w:tc>
      </w:tr>
      <w:tr w:rsidR="009A3751" w:rsidTr="009A3751">
        <w:tc>
          <w:tcPr>
            <w:tcW w:w="4565" w:type="dxa"/>
          </w:tcPr>
          <w:p w:rsidR="009A3751" w:rsidRPr="00613D8A" w:rsidRDefault="009A3751" w:rsidP="009A3751">
            <w:pPr>
              <w:spacing w:line="360" w:lineRule="auto"/>
              <w:rPr>
                <w:rFonts w:ascii="宋体" w:eastAsia="宋体" w:hAnsi="宋体"/>
                <w:color w:val="333333"/>
                <w:szCs w:val="21"/>
              </w:rPr>
            </w:pPr>
            <w:r w:rsidRPr="00135F85">
              <w:rPr>
                <w:rFonts w:hint="eastAsia"/>
              </w:rPr>
              <w:t>华泰柏瑞中证动漫游戏交易型开放式指数证券投资基金</w:t>
            </w:r>
          </w:p>
        </w:tc>
        <w:tc>
          <w:tcPr>
            <w:tcW w:w="1843" w:type="dxa"/>
            <w:vAlign w:val="bottom"/>
          </w:tcPr>
          <w:p w:rsidR="009A3751" w:rsidRPr="009A3751" w:rsidRDefault="009A3751" w:rsidP="009A3751">
            <w:pPr>
              <w:spacing w:line="360" w:lineRule="auto"/>
              <w:jc w:val="right"/>
              <w:rPr>
                <w:rFonts w:eastAsia="微软雅黑" w:cstheme="minorHAnsi"/>
                <w:color w:val="333333"/>
                <w:sz w:val="18"/>
                <w:szCs w:val="21"/>
              </w:rPr>
            </w:pPr>
            <w:r w:rsidRPr="009A3751">
              <w:rPr>
                <w:rFonts w:ascii="Arial" w:hAnsi="Arial" w:cs="Arial"/>
                <w:sz w:val="18"/>
                <w:szCs w:val="20"/>
              </w:rPr>
              <w:t>1742</w:t>
            </w:r>
          </w:p>
        </w:tc>
        <w:tc>
          <w:tcPr>
            <w:tcW w:w="1780" w:type="dxa"/>
            <w:vAlign w:val="bottom"/>
          </w:tcPr>
          <w:p w:rsidR="009A3751" w:rsidRPr="009A3751" w:rsidRDefault="009A3751" w:rsidP="009A3751">
            <w:pPr>
              <w:spacing w:line="360" w:lineRule="auto"/>
              <w:jc w:val="right"/>
              <w:rPr>
                <w:rFonts w:eastAsia="微软雅黑" w:cstheme="minorHAnsi"/>
                <w:color w:val="333333"/>
                <w:sz w:val="18"/>
                <w:szCs w:val="21"/>
              </w:rPr>
            </w:pPr>
            <w:r w:rsidRPr="009A3751">
              <w:rPr>
                <w:rFonts w:ascii="Arial" w:hAnsi="Arial" w:cs="Arial"/>
                <w:sz w:val="18"/>
                <w:szCs w:val="20"/>
              </w:rPr>
              <w:t>37853.66</w:t>
            </w:r>
          </w:p>
        </w:tc>
      </w:tr>
      <w:tr w:rsidR="009A3751" w:rsidTr="009A3751">
        <w:tc>
          <w:tcPr>
            <w:tcW w:w="4565" w:type="dxa"/>
          </w:tcPr>
          <w:p w:rsidR="009A3751" w:rsidRPr="00613D8A" w:rsidRDefault="009A3751" w:rsidP="009A3751">
            <w:pPr>
              <w:spacing w:line="360" w:lineRule="auto"/>
              <w:rPr>
                <w:rFonts w:ascii="宋体" w:eastAsia="宋体" w:hAnsi="宋体"/>
                <w:color w:val="333333"/>
                <w:szCs w:val="21"/>
              </w:rPr>
            </w:pPr>
            <w:r w:rsidRPr="00135F85">
              <w:rPr>
                <w:rFonts w:hint="eastAsia"/>
              </w:rPr>
              <w:t>华泰柏瑞中证稀土产业交易型开放式指数证券投资基金</w:t>
            </w:r>
          </w:p>
        </w:tc>
        <w:tc>
          <w:tcPr>
            <w:tcW w:w="1843" w:type="dxa"/>
            <w:vAlign w:val="bottom"/>
          </w:tcPr>
          <w:p w:rsidR="009A3751" w:rsidRPr="009A3751" w:rsidRDefault="009A3751" w:rsidP="009A3751">
            <w:pPr>
              <w:spacing w:line="360" w:lineRule="auto"/>
              <w:jc w:val="right"/>
              <w:rPr>
                <w:rFonts w:eastAsia="微软雅黑" w:cstheme="minorHAnsi"/>
                <w:color w:val="333333"/>
                <w:sz w:val="18"/>
                <w:szCs w:val="21"/>
              </w:rPr>
            </w:pPr>
            <w:r w:rsidRPr="009A3751">
              <w:rPr>
                <w:rFonts w:ascii="Arial" w:hAnsi="Arial" w:cs="Arial"/>
                <w:sz w:val="18"/>
                <w:szCs w:val="20"/>
              </w:rPr>
              <w:t>3056</w:t>
            </w:r>
          </w:p>
        </w:tc>
        <w:tc>
          <w:tcPr>
            <w:tcW w:w="1780" w:type="dxa"/>
            <w:vAlign w:val="bottom"/>
          </w:tcPr>
          <w:p w:rsidR="009A3751" w:rsidRPr="009A3751" w:rsidRDefault="009A3751" w:rsidP="009A3751">
            <w:pPr>
              <w:spacing w:line="360" w:lineRule="auto"/>
              <w:jc w:val="right"/>
              <w:rPr>
                <w:rFonts w:eastAsia="微软雅黑" w:cstheme="minorHAnsi"/>
                <w:color w:val="333333"/>
                <w:sz w:val="18"/>
                <w:szCs w:val="21"/>
              </w:rPr>
            </w:pPr>
            <w:r w:rsidRPr="009A3751">
              <w:rPr>
                <w:rFonts w:ascii="Arial" w:hAnsi="Arial" w:cs="Arial"/>
                <w:sz w:val="18"/>
                <w:szCs w:val="20"/>
              </w:rPr>
              <w:t>66406.88</w:t>
            </w:r>
          </w:p>
        </w:tc>
      </w:tr>
      <w:tr w:rsidR="009A3751" w:rsidTr="009A3751">
        <w:tc>
          <w:tcPr>
            <w:tcW w:w="4565" w:type="dxa"/>
          </w:tcPr>
          <w:p w:rsidR="009A3751" w:rsidRPr="00613D8A" w:rsidRDefault="009A3751" w:rsidP="009A3751">
            <w:pPr>
              <w:spacing w:line="360" w:lineRule="auto"/>
              <w:rPr>
                <w:rFonts w:ascii="宋体" w:eastAsia="宋体" w:hAnsi="宋体"/>
                <w:color w:val="333333"/>
                <w:szCs w:val="21"/>
              </w:rPr>
            </w:pPr>
            <w:r w:rsidRPr="00135F85">
              <w:rPr>
                <w:rFonts w:hint="eastAsia"/>
              </w:rPr>
              <w:t>华泰柏瑞中证全指医疗保健设备与服务交易型开放式指数证券投资基金</w:t>
            </w:r>
          </w:p>
        </w:tc>
        <w:tc>
          <w:tcPr>
            <w:tcW w:w="1843" w:type="dxa"/>
            <w:vAlign w:val="bottom"/>
          </w:tcPr>
          <w:p w:rsidR="009A3751" w:rsidRPr="009A3751" w:rsidRDefault="009A3751" w:rsidP="009A3751">
            <w:pPr>
              <w:spacing w:line="360" w:lineRule="auto"/>
              <w:jc w:val="right"/>
              <w:rPr>
                <w:rFonts w:eastAsia="微软雅黑" w:cstheme="minorHAnsi"/>
                <w:color w:val="333333"/>
                <w:sz w:val="18"/>
                <w:szCs w:val="21"/>
              </w:rPr>
            </w:pPr>
            <w:r w:rsidRPr="009A3751">
              <w:rPr>
                <w:rFonts w:ascii="Arial" w:hAnsi="Arial" w:cs="Arial"/>
                <w:sz w:val="18"/>
                <w:szCs w:val="20"/>
              </w:rPr>
              <w:t>1436</w:t>
            </w:r>
          </w:p>
        </w:tc>
        <w:tc>
          <w:tcPr>
            <w:tcW w:w="1780" w:type="dxa"/>
            <w:vAlign w:val="bottom"/>
          </w:tcPr>
          <w:p w:rsidR="009A3751" w:rsidRPr="009A3751" w:rsidRDefault="009A3751" w:rsidP="009A3751">
            <w:pPr>
              <w:spacing w:line="360" w:lineRule="auto"/>
              <w:jc w:val="right"/>
              <w:rPr>
                <w:rFonts w:eastAsia="微软雅黑" w:cstheme="minorHAnsi"/>
                <w:color w:val="333333"/>
                <w:sz w:val="18"/>
                <w:szCs w:val="21"/>
              </w:rPr>
            </w:pPr>
            <w:r w:rsidRPr="009A3751">
              <w:rPr>
                <w:rFonts w:ascii="Arial" w:hAnsi="Arial" w:cs="Arial"/>
                <w:sz w:val="18"/>
                <w:szCs w:val="20"/>
              </w:rPr>
              <w:t>31204.28</w:t>
            </w:r>
          </w:p>
        </w:tc>
      </w:tr>
      <w:tr w:rsidR="009A3751" w:rsidTr="009A3751">
        <w:tc>
          <w:tcPr>
            <w:tcW w:w="4565" w:type="dxa"/>
          </w:tcPr>
          <w:p w:rsidR="009A3751" w:rsidRPr="00613D8A" w:rsidRDefault="009A3751" w:rsidP="009A3751">
            <w:pPr>
              <w:spacing w:line="360" w:lineRule="auto"/>
              <w:rPr>
                <w:rFonts w:ascii="宋体" w:eastAsia="宋体" w:hAnsi="宋体"/>
                <w:color w:val="333333"/>
                <w:szCs w:val="21"/>
              </w:rPr>
            </w:pPr>
            <w:r w:rsidRPr="00135F85">
              <w:rPr>
                <w:rFonts w:hint="eastAsia"/>
              </w:rPr>
              <w:t>华泰柏瑞中证沪港深互联网交易型开放式指数证券投资基金</w:t>
            </w:r>
          </w:p>
        </w:tc>
        <w:tc>
          <w:tcPr>
            <w:tcW w:w="1843" w:type="dxa"/>
            <w:vAlign w:val="bottom"/>
          </w:tcPr>
          <w:p w:rsidR="009A3751" w:rsidRPr="009A3751" w:rsidRDefault="009A3751" w:rsidP="009A3751">
            <w:pPr>
              <w:spacing w:line="360" w:lineRule="auto"/>
              <w:jc w:val="right"/>
              <w:rPr>
                <w:rFonts w:eastAsia="微软雅黑" w:cstheme="minorHAnsi"/>
                <w:color w:val="333333"/>
                <w:sz w:val="18"/>
                <w:szCs w:val="21"/>
              </w:rPr>
            </w:pPr>
            <w:r w:rsidRPr="009A3751">
              <w:rPr>
                <w:rFonts w:ascii="Arial" w:hAnsi="Arial" w:cs="Arial"/>
                <w:sz w:val="18"/>
                <w:szCs w:val="20"/>
              </w:rPr>
              <w:t>3056</w:t>
            </w:r>
          </w:p>
        </w:tc>
        <w:tc>
          <w:tcPr>
            <w:tcW w:w="1780" w:type="dxa"/>
            <w:vAlign w:val="bottom"/>
          </w:tcPr>
          <w:p w:rsidR="009A3751" w:rsidRPr="009A3751" w:rsidRDefault="009A3751" w:rsidP="009A3751">
            <w:pPr>
              <w:spacing w:line="360" w:lineRule="auto"/>
              <w:jc w:val="right"/>
              <w:rPr>
                <w:rFonts w:eastAsia="微软雅黑" w:cstheme="minorHAnsi"/>
                <w:color w:val="333333"/>
                <w:sz w:val="18"/>
                <w:szCs w:val="21"/>
              </w:rPr>
            </w:pPr>
            <w:r w:rsidRPr="009A3751">
              <w:rPr>
                <w:rFonts w:ascii="Arial" w:hAnsi="Arial" w:cs="Arial"/>
                <w:sz w:val="18"/>
                <w:szCs w:val="20"/>
              </w:rPr>
              <w:t>66406.88</w:t>
            </w:r>
          </w:p>
        </w:tc>
      </w:tr>
      <w:tr w:rsidR="009A3751" w:rsidTr="009A3751">
        <w:tc>
          <w:tcPr>
            <w:tcW w:w="4565" w:type="dxa"/>
          </w:tcPr>
          <w:p w:rsidR="009A3751" w:rsidRPr="00613D8A" w:rsidRDefault="009A3751" w:rsidP="009A3751">
            <w:pPr>
              <w:spacing w:line="360" w:lineRule="auto"/>
              <w:rPr>
                <w:rFonts w:ascii="宋体" w:eastAsia="宋体" w:hAnsi="宋体"/>
                <w:color w:val="333333"/>
                <w:szCs w:val="21"/>
              </w:rPr>
            </w:pPr>
            <w:r w:rsidRPr="00135F85">
              <w:rPr>
                <w:rFonts w:hint="eastAsia"/>
              </w:rPr>
              <w:t>华泰柏瑞中证沪港深创新药产业交易型开放式指数证券投资基金</w:t>
            </w:r>
          </w:p>
        </w:tc>
        <w:tc>
          <w:tcPr>
            <w:tcW w:w="1843" w:type="dxa"/>
            <w:vAlign w:val="bottom"/>
          </w:tcPr>
          <w:p w:rsidR="009A3751" w:rsidRPr="009A3751" w:rsidRDefault="009A3751" w:rsidP="009A3751">
            <w:pPr>
              <w:spacing w:line="360" w:lineRule="auto"/>
              <w:jc w:val="right"/>
              <w:rPr>
                <w:rFonts w:eastAsia="微软雅黑" w:cstheme="minorHAnsi"/>
                <w:color w:val="333333"/>
                <w:sz w:val="18"/>
                <w:szCs w:val="21"/>
              </w:rPr>
            </w:pPr>
            <w:r w:rsidRPr="009A3751">
              <w:rPr>
                <w:rFonts w:ascii="Arial" w:hAnsi="Arial" w:cs="Arial"/>
                <w:sz w:val="18"/>
                <w:szCs w:val="20"/>
              </w:rPr>
              <w:t>3056</w:t>
            </w:r>
          </w:p>
        </w:tc>
        <w:tc>
          <w:tcPr>
            <w:tcW w:w="1780" w:type="dxa"/>
            <w:vAlign w:val="bottom"/>
          </w:tcPr>
          <w:p w:rsidR="009A3751" w:rsidRPr="009A3751" w:rsidRDefault="009A3751" w:rsidP="009A3751">
            <w:pPr>
              <w:spacing w:line="360" w:lineRule="auto"/>
              <w:jc w:val="right"/>
              <w:rPr>
                <w:rFonts w:eastAsia="微软雅黑" w:cstheme="minorHAnsi"/>
                <w:color w:val="333333"/>
                <w:sz w:val="18"/>
                <w:szCs w:val="21"/>
              </w:rPr>
            </w:pPr>
            <w:r w:rsidRPr="009A3751">
              <w:rPr>
                <w:rFonts w:ascii="Arial" w:hAnsi="Arial" w:cs="Arial"/>
                <w:sz w:val="18"/>
                <w:szCs w:val="20"/>
              </w:rPr>
              <w:t>66406.88</w:t>
            </w:r>
          </w:p>
        </w:tc>
      </w:tr>
      <w:tr w:rsidR="009A3751" w:rsidTr="009A3751">
        <w:tc>
          <w:tcPr>
            <w:tcW w:w="4565" w:type="dxa"/>
          </w:tcPr>
          <w:p w:rsidR="009A3751" w:rsidRPr="00613D8A" w:rsidRDefault="009A3751" w:rsidP="009A3751">
            <w:pPr>
              <w:spacing w:line="360" w:lineRule="auto"/>
              <w:rPr>
                <w:rFonts w:ascii="宋体" w:eastAsia="宋体" w:hAnsi="宋体"/>
                <w:color w:val="333333"/>
                <w:szCs w:val="21"/>
              </w:rPr>
            </w:pPr>
            <w:r w:rsidRPr="00135F85">
              <w:rPr>
                <w:rFonts w:hint="eastAsia"/>
              </w:rPr>
              <w:t>华泰柏瑞中证</w:t>
            </w:r>
            <w:r w:rsidRPr="00135F85">
              <w:rPr>
                <w:rFonts w:hint="eastAsia"/>
              </w:rPr>
              <w:t>500</w:t>
            </w:r>
            <w:r w:rsidRPr="00135F85">
              <w:rPr>
                <w:rFonts w:hint="eastAsia"/>
              </w:rPr>
              <w:t>增强策略交易型开放式指数证券投资基金</w:t>
            </w:r>
          </w:p>
        </w:tc>
        <w:tc>
          <w:tcPr>
            <w:tcW w:w="1843" w:type="dxa"/>
            <w:vAlign w:val="bottom"/>
          </w:tcPr>
          <w:p w:rsidR="009A3751" w:rsidRPr="009A3751" w:rsidRDefault="009A3751" w:rsidP="009A3751">
            <w:pPr>
              <w:spacing w:line="360" w:lineRule="auto"/>
              <w:jc w:val="right"/>
              <w:rPr>
                <w:rFonts w:eastAsia="微软雅黑" w:cstheme="minorHAnsi"/>
                <w:color w:val="333333"/>
                <w:sz w:val="18"/>
                <w:szCs w:val="21"/>
              </w:rPr>
            </w:pPr>
            <w:r w:rsidRPr="009A3751">
              <w:rPr>
                <w:rFonts w:ascii="Arial" w:hAnsi="Arial" w:cs="Arial"/>
                <w:sz w:val="18"/>
                <w:szCs w:val="20"/>
              </w:rPr>
              <w:t>3056</w:t>
            </w:r>
          </w:p>
        </w:tc>
        <w:tc>
          <w:tcPr>
            <w:tcW w:w="1780" w:type="dxa"/>
            <w:vAlign w:val="bottom"/>
          </w:tcPr>
          <w:p w:rsidR="009A3751" w:rsidRPr="009A3751" w:rsidRDefault="009A3751" w:rsidP="009A3751">
            <w:pPr>
              <w:spacing w:line="360" w:lineRule="auto"/>
              <w:jc w:val="right"/>
              <w:rPr>
                <w:rFonts w:eastAsia="微软雅黑" w:cstheme="minorHAnsi"/>
                <w:color w:val="333333"/>
                <w:sz w:val="18"/>
                <w:szCs w:val="21"/>
              </w:rPr>
            </w:pPr>
            <w:r w:rsidRPr="009A3751">
              <w:rPr>
                <w:rFonts w:ascii="Arial" w:hAnsi="Arial" w:cs="Arial"/>
                <w:sz w:val="18"/>
                <w:szCs w:val="20"/>
              </w:rPr>
              <w:t>66406.88</w:t>
            </w:r>
          </w:p>
        </w:tc>
      </w:tr>
      <w:tr w:rsidR="009A3751" w:rsidTr="009A3751">
        <w:tc>
          <w:tcPr>
            <w:tcW w:w="4565" w:type="dxa"/>
          </w:tcPr>
          <w:p w:rsidR="009A3751" w:rsidRPr="00613D8A" w:rsidRDefault="009A3751" w:rsidP="009A3751">
            <w:pPr>
              <w:spacing w:line="360" w:lineRule="auto"/>
              <w:rPr>
                <w:rFonts w:ascii="宋体" w:eastAsia="宋体" w:hAnsi="宋体" w:cs="Arial"/>
                <w:szCs w:val="21"/>
              </w:rPr>
            </w:pPr>
            <w:r w:rsidRPr="00135F85">
              <w:rPr>
                <w:rFonts w:hint="eastAsia"/>
              </w:rPr>
              <w:t>华泰柏瑞中证中央企业红利交易型开放式指数证券投资基金</w:t>
            </w:r>
          </w:p>
        </w:tc>
        <w:tc>
          <w:tcPr>
            <w:tcW w:w="1843" w:type="dxa"/>
            <w:vAlign w:val="bottom"/>
          </w:tcPr>
          <w:p w:rsidR="009A3751" w:rsidRPr="009A3751" w:rsidRDefault="009A3751" w:rsidP="009A3751">
            <w:pPr>
              <w:spacing w:line="360" w:lineRule="auto"/>
              <w:jc w:val="right"/>
              <w:rPr>
                <w:rFonts w:cstheme="minorHAnsi"/>
                <w:sz w:val="18"/>
                <w:szCs w:val="21"/>
              </w:rPr>
            </w:pPr>
            <w:r w:rsidRPr="009A3751">
              <w:rPr>
                <w:rFonts w:ascii="Arial" w:hAnsi="Arial" w:cs="Arial"/>
                <w:sz w:val="18"/>
                <w:szCs w:val="20"/>
              </w:rPr>
              <w:t>3056</w:t>
            </w:r>
          </w:p>
        </w:tc>
        <w:tc>
          <w:tcPr>
            <w:tcW w:w="1780" w:type="dxa"/>
            <w:vAlign w:val="bottom"/>
          </w:tcPr>
          <w:p w:rsidR="009A3751" w:rsidRPr="009A3751" w:rsidRDefault="009A3751" w:rsidP="009A3751">
            <w:pPr>
              <w:spacing w:line="360" w:lineRule="auto"/>
              <w:jc w:val="right"/>
              <w:rPr>
                <w:rFonts w:cstheme="minorHAnsi"/>
                <w:sz w:val="18"/>
                <w:szCs w:val="21"/>
              </w:rPr>
            </w:pPr>
            <w:r w:rsidRPr="009A3751">
              <w:rPr>
                <w:rFonts w:ascii="Arial" w:hAnsi="Arial" w:cs="Arial"/>
                <w:sz w:val="18"/>
                <w:szCs w:val="20"/>
              </w:rPr>
              <w:t>66406.88</w:t>
            </w:r>
          </w:p>
        </w:tc>
      </w:tr>
      <w:tr w:rsidR="009A3751" w:rsidTr="009A3751">
        <w:tc>
          <w:tcPr>
            <w:tcW w:w="4565" w:type="dxa"/>
          </w:tcPr>
          <w:p w:rsidR="009A3751" w:rsidRPr="00613D8A" w:rsidRDefault="009A3751" w:rsidP="009A3751">
            <w:pPr>
              <w:spacing w:line="360" w:lineRule="auto"/>
              <w:rPr>
                <w:rFonts w:ascii="宋体" w:eastAsia="宋体" w:hAnsi="宋体" w:cs="Arial"/>
                <w:szCs w:val="21"/>
              </w:rPr>
            </w:pPr>
            <w:r w:rsidRPr="00135F85">
              <w:rPr>
                <w:rFonts w:hint="eastAsia"/>
              </w:rPr>
              <w:t>华泰柏瑞中证</w:t>
            </w:r>
            <w:r w:rsidRPr="00135F85">
              <w:rPr>
                <w:rFonts w:hint="eastAsia"/>
              </w:rPr>
              <w:t>2000</w:t>
            </w:r>
            <w:r w:rsidRPr="00135F85">
              <w:rPr>
                <w:rFonts w:hint="eastAsia"/>
              </w:rPr>
              <w:t>交易型开放式指数证券投资基金</w:t>
            </w:r>
          </w:p>
        </w:tc>
        <w:tc>
          <w:tcPr>
            <w:tcW w:w="1843" w:type="dxa"/>
            <w:vAlign w:val="bottom"/>
          </w:tcPr>
          <w:p w:rsidR="009A3751" w:rsidRPr="009A3751" w:rsidRDefault="009A3751" w:rsidP="009A3751">
            <w:pPr>
              <w:spacing w:line="360" w:lineRule="auto"/>
              <w:jc w:val="right"/>
              <w:rPr>
                <w:rFonts w:cstheme="minorHAnsi"/>
                <w:sz w:val="18"/>
                <w:szCs w:val="21"/>
              </w:rPr>
            </w:pPr>
            <w:r w:rsidRPr="009A3751">
              <w:rPr>
                <w:rFonts w:ascii="Arial" w:hAnsi="Arial" w:cs="Arial"/>
                <w:sz w:val="18"/>
                <w:szCs w:val="20"/>
              </w:rPr>
              <w:t>3056</w:t>
            </w:r>
          </w:p>
        </w:tc>
        <w:tc>
          <w:tcPr>
            <w:tcW w:w="1780" w:type="dxa"/>
            <w:vAlign w:val="bottom"/>
          </w:tcPr>
          <w:p w:rsidR="009A3751" w:rsidRPr="009A3751" w:rsidRDefault="009A3751" w:rsidP="009A3751">
            <w:pPr>
              <w:spacing w:line="360" w:lineRule="auto"/>
              <w:jc w:val="right"/>
              <w:rPr>
                <w:rFonts w:cstheme="minorHAnsi"/>
                <w:sz w:val="18"/>
                <w:szCs w:val="21"/>
              </w:rPr>
            </w:pPr>
            <w:r w:rsidRPr="009A3751">
              <w:rPr>
                <w:rFonts w:ascii="Arial" w:hAnsi="Arial" w:cs="Arial"/>
                <w:sz w:val="18"/>
                <w:szCs w:val="20"/>
              </w:rPr>
              <w:t>66406.88</w:t>
            </w:r>
          </w:p>
        </w:tc>
      </w:tr>
      <w:tr w:rsidR="009A3751" w:rsidTr="009A3751">
        <w:tc>
          <w:tcPr>
            <w:tcW w:w="4565" w:type="dxa"/>
          </w:tcPr>
          <w:p w:rsidR="009A3751" w:rsidRPr="00135F85" w:rsidRDefault="009A3751" w:rsidP="009A3751">
            <w:pPr>
              <w:spacing w:line="360" w:lineRule="auto"/>
            </w:pPr>
            <w:r w:rsidRPr="009A3751">
              <w:rPr>
                <w:rFonts w:hint="eastAsia"/>
              </w:rPr>
              <w:t>华泰柏瑞中证</w:t>
            </w:r>
            <w:r w:rsidRPr="009A3751">
              <w:rPr>
                <w:rFonts w:hint="eastAsia"/>
              </w:rPr>
              <w:t>A</w:t>
            </w:r>
            <w:r w:rsidRPr="009A3751">
              <w:rPr>
                <w:rFonts w:hint="eastAsia"/>
              </w:rPr>
              <w:t>股交易型开放式指数证券投资基金</w:t>
            </w:r>
          </w:p>
        </w:tc>
        <w:tc>
          <w:tcPr>
            <w:tcW w:w="1843" w:type="dxa"/>
            <w:vAlign w:val="bottom"/>
          </w:tcPr>
          <w:p w:rsidR="009A3751" w:rsidRPr="009A3751" w:rsidRDefault="009A3751" w:rsidP="009A3751">
            <w:pPr>
              <w:spacing w:line="360" w:lineRule="auto"/>
              <w:jc w:val="right"/>
              <w:rPr>
                <w:rFonts w:ascii="Arial" w:hAnsi="Arial" w:cs="Arial"/>
                <w:sz w:val="18"/>
                <w:szCs w:val="20"/>
              </w:rPr>
            </w:pPr>
            <w:r w:rsidRPr="009A3751">
              <w:rPr>
                <w:rFonts w:ascii="Arial" w:hAnsi="Arial" w:cs="Arial"/>
                <w:sz w:val="18"/>
                <w:szCs w:val="20"/>
              </w:rPr>
              <w:t>2506</w:t>
            </w:r>
          </w:p>
        </w:tc>
        <w:tc>
          <w:tcPr>
            <w:tcW w:w="1780" w:type="dxa"/>
            <w:vAlign w:val="bottom"/>
          </w:tcPr>
          <w:p w:rsidR="009A3751" w:rsidRPr="009A3751" w:rsidRDefault="009A3751" w:rsidP="009A3751">
            <w:pPr>
              <w:spacing w:line="360" w:lineRule="auto"/>
              <w:jc w:val="right"/>
              <w:rPr>
                <w:rFonts w:ascii="Arial" w:hAnsi="Arial" w:cs="Arial"/>
                <w:sz w:val="18"/>
                <w:szCs w:val="20"/>
              </w:rPr>
            </w:pPr>
            <w:r w:rsidRPr="009A3751">
              <w:rPr>
                <w:rFonts w:ascii="Arial" w:hAnsi="Arial" w:cs="Arial"/>
                <w:sz w:val="18"/>
                <w:szCs w:val="20"/>
              </w:rPr>
              <w:t>54455.38</w:t>
            </w:r>
          </w:p>
        </w:tc>
      </w:tr>
    </w:tbl>
    <w:p w:rsidR="00E532D5" w:rsidRPr="00995654" w:rsidRDefault="00E532D5">
      <w:pPr>
        <w:spacing w:line="360" w:lineRule="auto"/>
        <w:ind w:firstLineChars="177" w:firstLine="425"/>
        <w:rPr>
          <w:sz w:val="24"/>
          <w:szCs w:val="24"/>
        </w:rPr>
      </w:pPr>
    </w:p>
    <w:p w:rsidR="00E532D5" w:rsidRDefault="00E532D5">
      <w:pPr>
        <w:spacing w:line="360" w:lineRule="auto"/>
        <w:ind w:firstLineChars="177" w:firstLine="425"/>
        <w:rPr>
          <w:sz w:val="24"/>
          <w:szCs w:val="24"/>
        </w:rPr>
      </w:pPr>
    </w:p>
    <w:p w:rsidR="00E532D5" w:rsidRDefault="009A1368">
      <w:pPr>
        <w:spacing w:line="360" w:lineRule="auto"/>
        <w:ind w:firstLineChars="177" w:firstLine="425"/>
        <w:rPr>
          <w:sz w:val="24"/>
          <w:szCs w:val="24"/>
        </w:rPr>
      </w:pPr>
      <w:r>
        <w:rPr>
          <w:rFonts w:hint="eastAsia"/>
          <w:sz w:val="24"/>
          <w:szCs w:val="24"/>
        </w:rPr>
        <w:t>特此公告。</w:t>
      </w:r>
    </w:p>
    <w:p w:rsidR="00E532D5" w:rsidRDefault="00E532D5">
      <w:pPr>
        <w:spacing w:line="360" w:lineRule="auto"/>
        <w:ind w:firstLineChars="177" w:firstLine="425"/>
        <w:rPr>
          <w:sz w:val="24"/>
          <w:szCs w:val="24"/>
        </w:rPr>
      </w:pPr>
    </w:p>
    <w:p w:rsidR="00E532D5" w:rsidRDefault="00E532D5">
      <w:pPr>
        <w:spacing w:line="360" w:lineRule="auto"/>
        <w:ind w:firstLineChars="177" w:firstLine="425"/>
        <w:rPr>
          <w:sz w:val="24"/>
          <w:szCs w:val="24"/>
        </w:rPr>
      </w:pPr>
      <w:bookmarkStart w:id="0" w:name="_GoBack"/>
      <w:bookmarkEnd w:id="0"/>
    </w:p>
    <w:p w:rsidR="00E532D5" w:rsidRDefault="009A1368">
      <w:pPr>
        <w:spacing w:line="360" w:lineRule="auto"/>
        <w:ind w:firstLineChars="177" w:firstLine="425"/>
        <w:jc w:val="right"/>
        <w:rPr>
          <w:sz w:val="24"/>
          <w:szCs w:val="24"/>
        </w:rPr>
      </w:pPr>
      <w:r>
        <w:rPr>
          <w:rFonts w:hint="eastAsia"/>
          <w:sz w:val="24"/>
          <w:szCs w:val="24"/>
        </w:rPr>
        <w:t>华泰柏瑞基金管理有限公司</w:t>
      </w:r>
    </w:p>
    <w:p w:rsidR="00E532D5" w:rsidRDefault="008C440B">
      <w:pPr>
        <w:spacing w:line="360" w:lineRule="auto"/>
        <w:ind w:firstLineChars="177" w:firstLine="425"/>
        <w:jc w:val="right"/>
        <w:rPr>
          <w:sz w:val="24"/>
          <w:szCs w:val="24"/>
        </w:rPr>
      </w:pPr>
      <w:r>
        <w:rPr>
          <w:rFonts w:hint="eastAsia"/>
          <w:sz w:val="24"/>
          <w:szCs w:val="24"/>
        </w:rPr>
        <w:t>202</w:t>
      </w:r>
      <w:r w:rsidR="00843DC9">
        <w:rPr>
          <w:sz w:val="24"/>
          <w:szCs w:val="24"/>
        </w:rPr>
        <w:t>4</w:t>
      </w:r>
      <w:r>
        <w:rPr>
          <w:rFonts w:hint="eastAsia"/>
          <w:sz w:val="24"/>
          <w:szCs w:val="24"/>
        </w:rPr>
        <w:t>年</w:t>
      </w:r>
      <w:r w:rsidR="009A3751">
        <w:rPr>
          <w:sz w:val="24"/>
          <w:szCs w:val="24"/>
        </w:rPr>
        <w:t>3</w:t>
      </w:r>
      <w:r>
        <w:rPr>
          <w:rFonts w:hint="eastAsia"/>
          <w:sz w:val="24"/>
          <w:szCs w:val="24"/>
        </w:rPr>
        <w:t>月</w:t>
      </w:r>
      <w:r w:rsidR="00235075">
        <w:rPr>
          <w:sz w:val="24"/>
          <w:szCs w:val="24"/>
        </w:rPr>
        <w:t>2</w:t>
      </w:r>
      <w:r w:rsidR="009A3751">
        <w:rPr>
          <w:sz w:val="24"/>
          <w:szCs w:val="24"/>
        </w:rPr>
        <w:t>8</w:t>
      </w:r>
      <w:r w:rsidR="009A1368">
        <w:rPr>
          <w:rFonts w:hint="eastAsia"/>
          <w:sz w:val="24"/>
          <w:szCs w:val="24"/>
        </w:rPr>
        <w:t>日</w:t>
      </w:r>
    </w:p>
    <w:sectPr w:rsidR="00E532D5" w:rsidSect="007169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60F" w:rsidRDefault="0049160F">
      <w:r>
        <w:separator/>
      </w:r>
    </w:p>
  </w:endnote>
  <w:endnote w:type="continuationSeparator" w:id="0">
    <w:p w:rsidR="0049160F" w:rsidRDefault="004916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altName w:val="微软雅黑"/>
    <w:panose1 w:val="02010609030101010101"/>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微软雅黑">
    <w:altName w:val="Microsoft YaHei"/>
    <w:panose1 w:val="020B0503020204020204"/>
    <w:charset w:val="86"/>
    <w:family w:val="swiss"/>
    <w:pitch w:val="variable"/>
    <w:sig w:usb0="80000287" w:usb1="2A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60F" w:rsidRDefault="0049160F">
      <w:r>
        <w:separator/>
      </w:r>
    </w:p>
  </w:footnote>
  <w:footnote w:type="continuationSeparator" w:id="0">
    <w:p w:rsidR="0049160F" w:rsidRDefault="004916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32D5"/>
    <w:rsid w:val="0003593E"/>
    <w:rsid w:val="00041F5A"/>
    <w:rsid w:val="000654DB"/>
    <w:rsid w:val="000A2EDA"/>
    <w:rsid w:val="000C2A4D"/>
    <w:rsid w:val="000C50B7"/>
    <w:rsid w:val="000C5F6E"/>
    <w:rsid w:val="000C7C79"/>
    <w:rsid w:val="000E13A1"/>
    <w:rsid w:val="0010560A"/>
    <w:rsid w:val="0011168C"/>
    <w:rsid w:val="00127D12"/>
    <w:rsid w:val="00135457"/>
    <w:rsid w:val="0013574D"/>
    <w:rsid w:val="00162C90"/>
    <w:rsid w:val="001731B8"/>
    <w:rsid w:val="00173E82"/>
    <w:rsid w:val="00175182"/>
    <w:rsid w:val="001B58C2"/>
    <w:rsid w:val="001C24D2"/>
    <w:rsid w:val="001D70FD"/>
    <w:rsid w:val="001F4107"/>
    <w:rsid w:val="001F48DB"/>
    <w:rsid w:val="001F754D"/>
    <w:rsid w:val="00200CC7"/>
    <w:rsid w:val="00206A64"/>
    <w:rsid w:val="002204FC"/>
    <w:rsid w:val="00235075"/>
    <w:rsid w:val="00245EE2"/>
    <w:rsid w:val="002E1EA7"/>
    <w:rsid w:val="002F2B25"/>
    <w:rsid w:val="00302653"/>
    <w:rsid w:val="00305EF6"/>
    <w:rsid w:val="003206A5"/>
    <w:rsid w:val="00341740"/>
    <w:rsid w:val="003464F5"/>
    <w:rsid w:val="003567A1"/>
    <w:rsid w:val="003605FC"/>
    <w:rsid w:val="003644B1"/>
    <w:rsid w:val="003B6AB7"/>
    <w:rsid w:val="003D422A"/>
    <w:rsid w:val="0041789D"/>
    <w:rsid w:val="004230CA"/>
    <w:rsid w:val="00444D6E"/>
    <w:rsid w:val="00466E78"/>
    <w:rsid w:val="00482097"/>
    <w:rsid w:val="0049160F"/>
    <w:rsid w:val="004C6F5E"/>
    <w:rsid w:val="004C7B03"/>
    <w:rsid w:val="004D2E12"/>
    <w:rsid w:val="004D3F83"/>
    <w:rsid w:val="004E0CBC"/>
    <w:rsid w:val="004E3180"/>
    <w:rsid w:val="00500EE6"/>
    <w:rsid w:val="00537CE9"/>
    <w:rsid w:val="00545A75"/>
    <w:rsid w:val="00554C44"/>
    <w:rsid w:val="0058051F"/>
    <w:rsid w:val="00591B49"/>
    <w:rsid w:val="005A5810"/>
    <w:rsid w:val="005B4157"/>
    <w:rsid w:val="005E465E"/>
    <w:rsid w:val="00613D8A"/>
    <w:rsid w:val="00623DEF"/>
    <w:rsid w:val="00631ACF"/>
    <w:rsid w:val="00640F4D"/>
    <w:rsid w:val="0064280C"/>
    <w:rsid w:val="006870B3"/>
    <w:rsid w:val="006B1435"/>
    <w:rsid w:val="006E2180"/>
    <w:rsid w:val="006E2295"/>
    <w:rsid w:val="006E24B6"/>
    <w:rsid w:val="006E3EAF"/>
    <w:rsid w:val="006F37E9"/>
    <w:rsid w:val="00700CB7"/>
    <w:rsid w:val="00706204"/>
    <w:rsid w:val="0071690C"/>
    <w:rsid w:val="00755909"/>
    <w:rsid w:val="007650BD"/>
    <w:rsid w:val="00790871"/>
    <w:rsid w:val="007A7735"/>
    <w:rsid w:val="007C52DD"/>
    <w:rsid w:val="007D140A"/>
    <w:rsid w:val="007E0A79"/>
    <w:rsid w:val="007E5891"/>
    <w:rsid w:val="007E650D"/>
    <w:rsid w:val="007F0811"/>
    <w:rsid w:val="0082493C"/>
    <w:rsid w:val="0083223E"/>
    <w:rsid w:val="008430CA"/>
    <w:rsid w:val="00843AA9"/>
    <w:rsid w:val="00843DC9"/>
    <w:rsid w:val="00844991"/>
    <w:rsid w:val="00856E6D"/>
    <w:rsid w:val="00891E9D"/>
    <w:rsid w:val="008B67D8"/>
    <w:rsid w:val="008C440B"/>
    <w:rsid w:val="008C535E"/>
    <w:rsid w:val="008D4673"/>
    <w:rsid w:val="008D76D1"/>
    <w:rsid w:val="00921BFE"/>
    <w:rsid w:val="00936C58"/>
    <w:rsid w:val="00957A82"/>
    <w:rsid w:val="00995654"/>
    <w:rsid w:val="009A1368"/>
    <w:rsid w:val="009A3751"/>
    <w:rsid w:val="009F67E0"/>
    <w:rsid w:val="00A14804"/>
    <w:rsid w:val="00A24912"/>
    <w:rsid w:val="00A476BC"/>
    <w:rsid w:val="00A55A2B"/>
    <w:rsid w:val="00A57391"/>
    <w:rsid w:val="00A625D7"/>
    <w:rsid w:val="00A677A0"/>
    <w:rsid w:val="00A72120"/>
    <w:rsid w:val="00AA13BB"/>
    <w:rsid w:val="00AC3EC7"/>
    <w:rsid w:val="00AC6E3B"/>
    <w:rsid w:val="00AE2637"/>
    <w:rsid w:val="00AF01C3"/>
    <w:rsid w:val="00AF2137"/>
    <w:rsid w:val="00AF446D"/>
    <w:rsid w:val="00AF49D6"/>
    <w:rsid w:val="00AF7D00"/>
    <w:rsid w:val="00B054C3"/>
    <w:rsid w:val="00B2030D"/>
    <w:rsid w:val="00B47362"/>
    <w:rsid w:val="00B50F26"/>
    <w:rsid w:val="00B6705A"/>
    <w:rsid w:val="00B86BEF"/>
    <w:rsid w:val="00BC3F42"/>
    <w:rsid w:val="00BC7A6C"/>
    <w:rsid w:val="00BD0621"/>
    <w:rsid w:val="00BD0BA6"/>
    <w:rsid w:val="00BD5FE2"/>
    <w:rsid w:val="00BE13C8"/>
    <w:rsid w:val="00BE56D9"/>
    <w:rsid w:val="00BF7A30"/>
    <w:rsid w:val="00C222A8"/>
    <w:rsid w:val="00C24B6B"/>
    <w:rsid w:val="00C82E4B"/>
    <w:rsid w:val="00CA3748"/>
    <w:rsid w:val="00CF2F12"/>
    <w:rsid w:val="00D26DF6"/>
    <w:rsid w:val="00D32F50"/>
    <w:rsid w:val="00D4308C"/>
    <w:rsid w:val="00D77064"/>
    <w:rsid w:val="00D91025"/>
    <w:rsid w:val="00DC5DA3"/>
    <w:rsid w:val="00DE63D4"/>
    <w:rsid w:val="00DF4151"/>
    <w:rsid w:val="00E06BAF"/>
    <w:rsid w:val="00E1206D"/>
    <w:rsid w:val="00E12FE8"/>
    <w:rsid w:val="00E22DE2"/>
    <w:rsid w:val="00E26843"/>
    <w:rsid w:val="00E27F40"/>
    <w:rsid w:val="00E30B4A"/>
    <w:rsid w:val="00E529D0"/>
    <w:rsid w:val="00E532D5"/>
    <w:rsid w:val="00E722B9"/>
    <w:rsid w:val="00E7383B"/>
    <w:rsid w:val="00E75D28"/>
    <w:rsid w:val="00E829C6"/>
    <w:rsid w:val="00E92C42"/>
    <w:rsid w:val="00E92EFB"/>
    <w:rsid w:val="00ED6C30"/>
    <w:rsid w:val="00F063C4"/>
    <w:rsid w:val="00F336DB"/>
    <w:rsid w:val="00F70FF7"/>
    <w:rsid w:val="00F9427D"/>
    <w:rsid w:val="00FA4B20"/>
    <w:rsid w:val="00FC4DE7"/>
    <w:rsid w:val="00FE18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9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69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690C"/>
    <w:rPr>
      <w:sz w:val="18"/>
      <w:szCs w:val="18"/>
    </w:rPr>
  </w:style>
  <w:style w:type="paragraph" w:styleId="a4">
    <w:name w:val="footer"/>
    <w:basedOn w:val="a"/>
    <w:link w:val="Char0"/>
    <w:uiPriority w:val="99"/>
    <w:unhideWhenUsed/>
    <w:rsid w:val="0071690C"/>
    <w:pPr>
      <w:tabs>
        <w:tab w:val="center" w:pos="4153"/>
        <w:tab w:val="right" w:pos="8306"/>
      </w:tabs>
      <w:snapToGrid w:val="0"/>
      <w:jc w:val="left"/>
    </w:pPr>
    <w:rPr>
      <w:sz w:val="18"/>
      <w:szCs w:val="18"/>
    </w:rPr>
  </w:style>
  <w:style w:type="character" w:customStyle="1" w:styleId="Char0">
    <w:name w:val="页脚 Char"/>
    <w:basedOn w:val="a0"/>
    <w:link w:val="a4"/>
    <w:uiPriority w:val="99"/>
    <w:rsid w:val="0071690C"/>
    <w:rPr>
      <w:sz w:val="18"/>
      <w:szCs w:val="18"/>
    </w:rPr>
  </w:style>
  <w:style w:type="table" w:styleId="a5">
    <w:name w:val="Table Grid"/>
    <w:basedOn w:val="a1"/>
    <w:uiPriority w:val="59"/>
    <w:rsid w:val="00716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71690C"/>
    <w:rPr>
      <w:rFonts w:ascii="楷体_GB2312" w:eastAsia="楷体_GB2312" w:hint="eastAsia"/>
      <w:b w:val="0"/>
      <w:bCs w:val="0"/>
      <w:i w:val="0"/>
      <w:iCs w:val="0"/>
      <w:color w:val="000000"/>
      <w:sz w:val="24"/>
      <w:szCs w:val="24"/>
    </w:rPr>
  </w:style>
  <w:style w:type="paragraph" w:styleId="a6">
    <w:name w:val="Balloon Text"/>
    <w:basedOn w:val="a"/>
    <w:link w:val="Char1"/>
    <w:uiPriority w:val="99"/>
    <w:semiHidden/>
    <w:unhideWhenUsed/>
    <w:rsid w:val="0071690C"/>
    <w:rPr>
      <w:sz w:val="18"/>
      <w:szCs w:val="18"/>
    </w:rPr>
  </w:style>
  <w:style w:type="character" w:customStyle="1" w:styleId="Char1">
    <w:name w:val="批注框文本 Char"/>
    <w:basedOn w:val="a0"/>
    <w:link w:val="a6"/>
    <w:uiPriority w:val="99"/>
    <w:semiHidden/>
    <w:rsid w:val="0071690C"/>
    <w:rPr>
      <w:sz w:val="18"/>
      <w:szCs w:val="18"/>
    </w:rPr>
  </w:style>
  <w:style w:type="paragraph" w:styleId="a7">
    <w:name w:val="Revision"/>
    <w:hidden/>
    <w:uiPriority w:val="99"/>
    <w:semiHidden/>
    <w:rsid w:val="0071690C"/>
  </w:style>
  <w:style w:type="paragraph" w:styleId="a8">
    <w:name w:val="Title"/>
    <w:basedOn w:val="a"/>
    <w:next w:val="a"/>
    <w:link w:val="Char2"/>
    <w:uiPriority w:val="10"/>
    <w:qFormat/>
    <w:rsid w:val="0071690C"/>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71690C"/>
    <w:rPr>
      <w:rFonts w:asciiTheme="majorHAnsi" w:eastAsia="宋体" w:hAnsiTheme="majorHAnsi" w:cstheme="majorBidi"/>
      <w:b/>
      <w:bCs/>
      <w:sz w:val="32"/>
      <w:szCs w:val="32"/>
    </w:rPr>
  </w:style>
  <w:style w:type="character" w:customStyle="1" w:styleId="highlight">
    <w:name w:val="highlight"/>
    <w:basedOn w:val="a0"/>
    <w:rsid w:val="00BD0621"/>
  </w:style>
  <w:style w:type="character" w:styleId="a9">
    <w:name w:val="annotation reference"/>
    <w:basedOn w:val="a0"/>
    <w:uiPriority w:val="99"/>
    <w:semiHidden/>
    <w:unhideWhenUsed/>
    <w:rsid w:val="007C52DD"/>
    <w:rPr>
      <w:sz w:val="21"/>
      <w:szCs w:val="21"/>
    </w:rPr>
  </w:style>
  <w:style w:type="paragraph" w:styleId="aa">
    <w:name w:val="annotation text"/>
    <w:basedOn w:val="a"/>
    <w:link w:val="Char3"/>
    <w:uiPriority w:val="99"/>
    <w:semiHidden/>
    <w:unhideWhenUsed/>
    <w:rsid w:val="007C52DD"/>
    <w:pPr>
      <w:jc w:val="left"/>
    </w:pPr>
  </w:style>
  <w:style w:type="character" w:customStyle="1" w:styleId="Char3">
    <w:name w:val="批注文字 Char"/>
    <w:basedOn w:val="a0"/>
    <w:link w:val="aa"/>
    <w:uiPriority w:val="99"/>
    <w:semiHidden/>
    <w:rsid w:val="007C52DD"/>
  </w:style>
  <w:style w:type="paragraph" w:styleId="ab">
    <w:name w:val="annotation subject"/>
    <w:basedOn w:val="aa"/>
    <w:next w:val="aa"/>
    <w:link w:val="Char4"/>
    <w:uiPriority w:val="99"/>
    <w:semiHidden/>
    <w:unhideWhenUsed/>
    <w:rsid w:val="007C52DD"/>
    <w:rPr>
      <w:b/>
      <w:bCs/>
    </w:rPr>
  </w:style>
  <w:style w:type="character" w:customStyle="1" w:styleId="Char4">
    <w:name w:val="批注主题 Char"/>
    <w:basedOn w:val="Char3"/>
    <w:link w:val="ab"/>
    <w:uiPriority w:val="99"/>
    <w:semiHidden/>
    <w:rsid w:val="007C52DD"/>
    <w:rPr>
      <w:b/>
      <w:bCs/>
    </w:rPr>
  </w:style>
</w:styles>
</file>

<file path=word/webSettings.xml><?xml version="1.0" encoding="utf-8"?>
<w:webSettings xmlns:r="http://schemas.openxmlformats.org/officeDocument/2006/relationships" xmlns:w="http://schemas.openxmlformats.org/wordprocessingml/2006/main">
  <w:divs>
    <w:div w:id="164368668">
      <w:bodyDiv w:val="1"/>
      <w:marLeft w:val="0"/>
      <w:marRight w:val="0"/>
      <w:marTop w:val="0"/>
      <w:marBottom w:val="0"/>
      <w:divBdr>
        <w:top w:val="none" w:sz="0" w:space="0" w:color="auto"/>
        <w:left w:val="none" w:sz="0" w:space="0" w:color="auto"/>
        <w:bottom w:val="none" w:sz="0" w:space="0" w:color="auto"/>
        <w:right w:val="none" w:sz="0" w:space="0" w:color="auto"/>
      </w:divBdr>
    </w:div>
    <w:div w:id="311369158">
      <w:bodyDiv w:val="1"/>
      <w:marLeft w:val="0"/>
      <w:marRight w:val="0"/>
      <w:marTop w:val="0"/>
      <w:marBottom w:val="0"/>
      <w:divBdr>
        <w:top w:val="none" w:sz="0" w:space="0" w:color="auto"/>
        <w:left w:val="none" w:sz="0" w:space="0" w:color="auto"/>
        <w:bottom w:val="none" w:sz="0" w:space="0" w:color="auto"/>
        <w:right w:val="none" w:sz="0" w:space="0" w:color="auto"/>
      </w:divBdr>
    </w:div>
    <w:div w:id="462624694">
      <w:bodyDiv w:val="1"/>
      <w:marLeft w:val="0"/>
      <w:marRight w:val="0"/>
      <w:marTop w:val="0"/>
      <w:marBottom w:val="0"/>
      <w:divBdr>
        <w:top w:val="none" w:sz="0" w:space="0" w:color="auto"/>
        <w:left w:val="none" w:sz="0" w:space="0" w:color="auto"/>
        <w:bottom w:val="none" w:sz="0" w:space="0" w:color="auto"/>
        <w:right w:val="none" w:sz="0" w:space="0" w:color="auto"/>
      </w:divBdr>
    </w:div>
    <w:div w:id="561139094">
      <w:bodyDiv w:val="1"/>
      <w:marLeft w:val="0"/>
      <w:marRight w:val="0"/>
      <w:marTop w:val="0"/>
      <w:marBottom w:val="0"/>
      <w:divBdr>
        <w:top w:val="none" w:sz="0" w:space="0" w:color="auto"/>
        <w:left w:val="none" w:sz="0" w:space="0" w:color="auto"/>
        <w:bottom w:val="none" w:sz="0" w:space="0" w:color="auto"/>
        <w:right w:val="none" w:sz="0" w:space="0" w:color="auto"/>
      </w:divBdr>
    </w:div>
    <w:div w:id="609243941">
      <w:bodyDiv w:val="1"/>
      <w:marLeft w:val="0"/>
      <w:marRight w:val="0"/>
      <w:marTop w:val="0"/>
      <w:marBottom w:val="0"/>
      <w:divBdr>
        <w:top w:val="none" w:sz="0" w:space="0" w:color="auto"/>
        <w:left w:val="none" w:sz="0" w:space="0" w:color="auto"/>
        <w:bottom w:val="none" w:sz="0" w:space="0" w:color="auto"/>
        <w:right w:val="none" w:sz="0" w:space="0" w:color="auto"/>
      </w:divBdr>
    </w:div>
    <w:div w:id="696538228">
      <w:bodyDiv w:val="1"/>
      <w:marLeft w:val="0"/>
      <w:marRight w:val="0"/>
      <w:marTop w:val="0"/>
      <w:marBottom w:val="0"/>
      <w:divBdr>
        <w:top w:val="none" w:sz="0" w:space="0" w:color="auto"/>
        <w:left w:val="none" w:sz="0" w:space="0" w:color="auto"/>
        <w:bottom w:val="none" w:sz="0" w:space="0" w:color="auto"/>
        <w:right w:val="none" w:sz="0" w:space="0" w:color="auto"/>
      </w:divBdr>
    </w:div>
    <w:div w:id="784347482">
      <w:bodyDiv w:val="1"/>
      <w:marLeft w:val="0"/>
      <w:marRight w:val="0"/>
      <w:marTop w:val="0"/>
      <w:marBottom w:val="0"/>
      <w:divBdr>
        <w:top w:val="none" w:sz="0" w:space="0" w:color="auto"/>
        <w:left w:val="none" w:sz="0" w:space="0" w:color="auto"/>
        <w:bottom w:val="none" w:sz="0" w:space="0" w:color="auto"/>
        <w:right w:val="none" w:sz="0" w:space="0" w:color="auto"/>
      </w:divBdr>
    </w:div>
    <w:div w:id="913927752">
      <w:bodyDiv w:val="1"/>
      <w:marLeft w:val="0"/>
      <w:marRight w:val="0"/>
      <w:marTop w:val="0"/>
      <w:marBottom w:val="0"/>
      <w:divBdr>
        <w:top w:val="none" w:sz="0" w:space="0" w:color="auto"/>
        <w:left w:val="none" w:sz="0" w:space="0" w:color="auto"/>
        <w:bottom w:val="none" w:sz="0" w:space="0" w:color="auto"/>
        <w:right w:val="none" w:sz="0" w:space="0" w:color="auto"/>
      </w:divBdr>
    </w:div>
    <w:div w:id="936134106">
      <w:bodyDiv w:val="1"/>
      <w:marLeft w:val="0"/>
      <w:marRight w:val="0"/>
      <w:marTop w:val="0"/>
      <w:marBottom w:val="0"/>
      <w:divBdr>
        <w:top w:val="none" w:sz="0" w:space="0" w:color="auto"/>
        <w:left w:val="none" w:sz="0" w:space="0" w:color="auto"/>
        <w:bottom w:val="none" w:sz="0" w:space="0" w:color="auto"/>
        <w:right w:val="none" w:sz="0" w:space="0" w:color="auto"/>
      </w:divBdr>
    </w:div>
    <w:div w:id="956910907">
      <w:bodyDiv w:val="1"/>
      <w:marLeft w:val="0"/>
      <w:marRight w:val="0"/>
      <w:marTop w:val="0"/>
      <w:marBottom w:val="0"/>
      <w:divBdr>
        <w:top w:val="none" w:sz="0" w:space="0" w:color="auto"/>
        <w:left w:val="none" w:sz="0" w:space="0" w:color="auto"/>
        <w:bottom w:val="none" w:sz="0" w:space="0" w:color="auto"/>
        <w:right w:val="none" w:sz="0" w:space="0" w:color="auto"/>
      </w:divBdr>
    </w:div>
    <w:div w:id="989479069">
      <w:bodyDiv w:val="1"/>
      <w:marLeft w:val="0"/>
      <w:marRight w:val="0"/>
      <w:marTop w:val="0"/>
      <w:marBottom w:val="0"/>
      <w:divBdr>
        <w:top w:val="none" w:sz="0" w:space="0" w:color="auto"/>
        <w:left w:val="none" w:sz="0" w:space="0" w:color="auto"/>
        <w:bottom w:val="none" w:sz="0" w:space="0" w:color="auto"/>
        <w:right w:val="none" w:sz="0" w:space="0" w:color="auto"/>
      </w:divBdr>
    </w:div>
    <w:div w:id="1229876844">
      <w:bodyDiv w:val="1"/>
      <w:marLeft w:val="0"/>
      <w:marRight w:val="0"/>
      <w:marTop w:val="0"/>
      <w:marBottom w:val="0"/>
      <w:divBdr>
        <w:top w:val="none" w:sz="0" w:space="0" w:color="auto"/>
        <w:left w:val="none" w:sz="0" w:space="0" w:color="auto"/>
        <w:bottom w:val="none" w:sz="0" w:space="0" w:color="auto"/>
        <w:right w:val="none" w:sz="0" w:space="0" w:color="auto"/>
      </w:divBdr>
    </w:div>
    <w:div w:id="1284072495">
      <w:bodyDiv w:val="1"/>
      <w:marLeft w:val="0"/>
      <w:marRight w:val="0"/>
      <w:marTop w:val="0"/>
      <w:marBottom w:val="0"/>
      <w:divBdr>
        <w:top w:val="none" w:sz="0" w:space="0" w:color="auto"/>
        <w:left w:val="none" w:sz="0" w:space="0" w:color="auto"/>
        <w:bottom w:val="none" w:sz="0" w:space="0" w:color="auto"/>
        <w:right w:val="none" w:sz="0" w:space="0" w:color="auto"/>
      </w:divBdr>
    </w:div>
    <w:div w:id="1446389774">
      <w:bodyDiv w:val="1"/>
      <w:marLeft w:val="0"/>
      <w:marRight w:val="0"/>
      <w:marTop w:val="0"/>
      <w:marBottom w:val="0"/>
      <w:divBdr>
        <w:top w:val="none" w:sz="0" w:space="0" w:color="auto"/>
        <w:left w:val="none" w:sz="0" w:space="0" w:color="auto"/>
        <w:bottom w:val="none" w:sz="0" w:space="0" w:color="auto"/>
        <w:right w:val="none" w:sz="0" w:space="0" w:color="auto"/>
      </w:divBdr>
    </w:div>
    <w:div w:id="1447575281">
      <w:bodyDiv w:val="1"/>
      <w:marLeft w:val="0"/>
      <w:marRight w:val="0"/>
      <w:marTop w:val="0"/>
      <w:marBottom w:val="0"/>
      <w:divBdr>
        <w:top w:val="none" w:sz="0" w:space="0" w:color="auto"/>
        <w:left w:val="none" w:sz="0" w:space="0" w:color="auto"/>
        <w:bottom w:val="none" w:sz="0" w:space="0" w:color="auto"/>
        <w:right w:val="none" w:sz="0" w:space="0" w:color="auto"/>
      </w:divBdr>
    </w:div>
    <w:div w:id="1579249970">
      <w:bodyDiv w:val="1"/>
      <w:marLeft w:val="0"/>
      <w:marRight w:val="0"/>
      <w:marTop w:val="0"/>
      <w:marBottom w:val="0"/>
      <w:divBdr>
        <w:top w:val="none" w:sz="0" w:space="0" w:color="auto"/>
        <w:left w:val="none" w:sz="0" w:space="0" w:color="auto"/>
        <w:bottom w:val="none" w:sz="0" w:space="0" w:color="auto"/>
        <w:right w:val="none" w:sz="0" w:space="0" w:color="auto"/>
      </w:divBdr>
    </w:div>
    <w:div w:id="1585797875">
      <w:bodyDiv w:val="1"/>
      <w:marLeft w:val="0"/>
      <w:marRight w:val="0"/>
      <w:marTop w:val="0"/>
      <w:marBottom w:val="0"/>
      <w:divBdr>
        <w:top w:val="none" w:sz="0" w:space="0" w:color="auto"/>
        <w:left w:val="none" w:sz="0" w:space="0" w:color="auto"/>
        <w:bottom w:val="none" w:sz="0" w:space="0" w:color="auto"/>
        <w:right w:val="none" w:sz="0" w:space="0" w:color="auto"/>
      </w:divBdr>
    </w:div>
    <w:div w:id="1676492934">
      <w:bodyDiv w:val="1"/>
      <w:marLeft w:val="0"/>
      <w:marRight w:val="0"/>
      <w:marTop w:val="0"/>
      <w:marBottom w:val="0"/>
      <w:divBdr>
        <w:top w:val="none" w:sz="0" w:space="0" w:color="auto"/>
        <w:left w:val="none" w:sz="0" w:space="0" w:color="auto"/>
        <w:bottom w:val="none" w:sz="0" w:space="0" w:color="auto"/>
        <w:right w:val="none" w:sz="0" w:space="0" w:color="auto"/>
      </w:divBdr>
    </w:div>
    <w:div w:id="1833568619">
      <w:bodyDiv w:val="1"/>
      <w:marLeft w:val="0"/>
      <w:marRight w:val="0"/>
      <w:marTop w:val="0"/>
      <w:marBottom w:val="0"/>
      <w:divBdr>
        <w:top w:val="none" w:sz="0" w:space="0" w:color="auto"/>
        <w:left w:val="none" w:sz="0" w:space="0" w:color="auto"/>
        <w:bottom w:val="none" w:sz="0" w:space="0" w:color="auto"/>
        <w:right w:val="none" w:sz="0" w:space="0" w:color="auto"/>
      </w:divBdr>
    </w:div>
    <w:div w:id="1843012613">
      <w:bodyDiv w:val="1"/>
      <w:marLeft w:val="0"/>
      <w:marRight w:val="0"/>
      <w:marTop w:val="0"/>
      <w:marBottom w:val="0"/>
      <w:divBdr>
        <w:top w:val="none" w:sz="0" w:space="0" w:color="auto"/>
        <w:left w:val="none" w:sz="0" w:space="0" w:color="auto"/>
        <w:bottom w:val="none" w:sz="0" w:space="0" w:color="auto"/>
        <w:right w:val="none" w:sz="0" w:space="0" w:color="auto"/>
      </w:divBdr>
    </w:div>
    <w:div w:id="1852524928">
      <w:bodyDiv w:val="1"/>
      <w:marLeft w:val="0"/>
      <w:marRight w:val="0"/>
      <w:marTop w:val="0"/>
      <w:marBottom w:val="0"/>
      <w:divBdr>
        <w:top w:val="none" w:sz="0" w:space="0" w:color="auto"/>
        <w:left w:val="none" w:sz="0" w:space="0" w:color="auto"/>
        <w:bottom w:val="none" w:sz="0" w:space="0" w:color="auto"/>
        <w:right w:val="none" w:sz="0" w:space="0" w:color="auto"/>
      </w:divBdr>
    </w:div>
    <w:div w:id="2031832190">
      <w:bodyDiv w:val="1"/>
      <w:marLeft w:val="0"/>
      <w:marRight w:val="0"/>
      <w:marTop w:val="0"/>
      <w:marBottom w:val="0"/>
      <w:divBdr>
        <w:top w:val="none" w:sz="0" w:space="0" w:color="auto"/>
        <w:left w:val="none" w:sz="0" w:space="0" w:color="auto"/>
        <w:bottom w:val="none" w:sz="0" w:space="0" w:color="auto"/>
        <w:right w:val="none" w:sz="0" w:space="0" w:color="auto"/>
      </w:divBdr>
    </w:div>
    <w:div w:id="2058771355">
      <w:bodyDiv w:val="1"/>
      <w:marLeft w:val="0"/>
      <w:marRight w:val="0"/>
      <w:marTop w:val="0"/>
      <w:marBottom w:val="0"/>
      <w:divBdr>
        <w:top w:val="none" w:sz="0" w:space="0" w:color="auto"/>
        <w:left w:val="none" w:sz="0" w:space="0" w:color="auto"/>
        <w:bottom w:val="none" w:sz="0" w:space="0" w:color="auto"/>
        <w:right w:val="none" w:sz="0" w:space="0" w:color="auto"/>
      </w:divBdr>
    </w:div>
    <w:div w:id="2072534595">
      <w:bodyDiv w:val="1"/>
      <w:marLeft w:val="0"/>
      <w:marRight w:val="0"/>
      <w:marTop w:val="0"/>
      <w:marBottom w:val="0"/>
      <w:divBdr>
        <w:top w:val="none" w:sz="0" w:space="0" w:color="auto"/>
        <w:left w:val="none" w:sz="0" w:space="0" w:color="auto"/>
        <w:bottom w:val="none" w:sz="0" w:space="0" w:color="auto"/>
        <w:right w:val="none" w:sz="0" w:space="0" w:color="auto"/>
      </w:divBdr>
    </w:div>
    <w:div w:id="2098940267">
      <w:bodyDiv w:val="1"/>
      <w:marLeft w:val="0"/>
      <w:marRight w:val="0"/>
      <w:marTop w:val="0"/>
      <w:marBottom w:val="0"/>
      <w:divBdr>
        <w:top w:val="none" w:sz="0" w:space="0" w:color="auto"/>
        <w:left w:val="none" w:sz="0" w:space="0" w:color="auto"/>
        <w:bottom w:val="none" w:sz="0" w:space="0" w:color="auto"/>
        <w:right w:val="none" w:sz="0" w:space="0" w:color="auto"/>
      </w:divBdr>
    </w:div>
    <w:div w:id="210911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C9E29-2F9E-4973-8D8A-8C8685EE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377</Words>
  <Characters>2149</Characters>
  <Application>Microsoft Office Word</Application>
  <DocSecurity>4</DocSecurity>
  <Lines>17</Lines>
  <Paragraphs>5</Paragraphs>
  <ScaleCrop>false</ScaleCrop>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张晙菂(Zhang Junde)</dc:creator>
  <cp:lastModifiedBy>ZHONGM</cp:lastModifiedBy>
  <cp:revision>2</cp:revision>
  <cp:lastPrinted>2020-12-30T08:56:00Z</cp:lastPrinted>
  <dcterms:created xsi:type="dcterms:W3CDTF">2024-03-27T16:01:00Z</dcterms:created>
  <dcterms:modified xsi:type="dcterms:W3CDTF">2024-03-27T16:01:00Z</dcterms:modified>
</cp:coreProperties>
</file>