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jc w:val="center"/>
        <w:rPr>
          <w:rFonts w:ascii="宋体" w:hAnsi="宋体" w:hint="eastAsia"/>
          <w:b/>
          <w:sz w:val="48"/>
          <w:szCs w:val="48"/>
        </w:rPr>
      </w:pPr>
      <w:bookmarkStart w:id="0" w:name="t_2_0_table"/>
      <w:bookmarkEnd w:id="0"/>
      <w:r>
        <w:rPr>
          <w:rFonts w:ascii="宋体" w:hAnsi="宋体" w:hint="eastAsia"/>
          <w:b/>
          <w:sz w:val="48"/>
          <w:szCs w:val="48"/>
        </w:rPr>
        <w:t>渤海汇金汇增利3个月定期开放债券型发起式证券投资基金第二十二个开放期开放申购、赎回业务的公告</w:t>
      </w:r>
    </w:p>
    <w:p w:rsidR="00A0562C" w:rsidRDefault="00A0562C">
      <w:pPr>
        <w:jc w:val="center"/>
        <w:rPr>
          <w:rFonts w:ascii="宋体" w:hAnsi="宋体" w:hint="eastAsia"/>
          <w:sz w:val="30"/>
          <w:szCs w:val="30"/>
        </w:rPr>
      </w:pPr>
    </w:p>
    <w:p w:rsidR="00A0562C" w:rsidRDefault="00A0562C">
      <w:pPr>
        <w:jc w:val="center"/>
        <w:rPr>
          <w:rFonts w:ascii="宋体" w:hAnsi="宋体" w:hint="eastAsia"/>
          <w:sz w:val="30"/>
          <w:szCs w:val="30"/>
        </w:rPr>
      </w:pPr>
      <w:bookmarkStart w:id="1" w:name="t_2_0_0002_a2_fm1"/>
      <w:bookmarkEnd w:id="1"/>
    </w:p>
    <w:p w:rsidR="00A0562C" w:rsidRDefault="00A0562C">
      <w:pPr>
        <w:jc w:val="center"/>
        <w:rPr>
          <w:rFonts w:ascii="宋体" w:hAnsi="宋体" w:hint="eastAsia"/>
          <w:sz w:val="30"/>
          <w:szCs w:val="30"/>
        </w:rPr>
      </w:pPr>
    </w:p>
    <w:p w:rsidR="00A0562C" w:rsidRDefault="00A0562C">
      <w:pPr>
        <w:jc w:val="center"/>
        <w:rPr>
          <w:rFonts w:ascii="宋体" w:hAnsi="宋体" w:hint="eastAsia"/>
          <w:sz w:val="30"/>
          <w:szCs w:val="30"/>
        </w:rPr>
      </w:pPr>
    </w:p>
    <w:p w:rsidR="00A0562C" w:rsidRDefault="00A0562C">
      <w:pPr>
        <w:jc w:val="center"/>
        <w:rPr>
          <w:rFonts w:ascii="宋体" w:hAnsi="宋体" w:hint="eastAsia"/>
          <w:sz w:val="30"/>
          <w:szCs w:val="30"/>
        </w:rPr>
      </w:pPr>
    </w:p>
    <w:p w:rsidR="00A0562C" w:rsidRDefault="00A0562C">
      <w:pPr>
        <w:jc w:val="center"/>
        <w:rPr>
          <w:rFonts w:ascii="宋体" w:hAnsi="宋体" w:hint="eastAsia"/>
          <w:sz w:val="30"/>
          <w:szCs w:val="30"/>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2_0_0003_a1_fm1"/>
      <w:bookmarkEnd w:id="2"/>
      <w:r>
        <w:rPr>
          <w:rFonts w:ascii="宋体" w:hAnsi="宋体" w:hint="eastAsia"/>
          <w:b/>
          <w:sz w:val="28"/>
          <w:szCs w:val="28"/>
        </w:rPr>
        <w:t>2024年3月28日</w:t>
      </w: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rPr>
          <w:rFonts w:hint="eastAsia"/>
          <w:sz w:val="24"/>
        </w:rPr>
      </w:pPr>
    </w:p>
    <w:p w:rsidR="00A0562C" w:rsidRDefault="00A0562C">
      <w:pPr>
        <w:pStyle w:val="2"/>
        <w:numPr>
          <w:ilvl w:val="0"/>
          <w:numId w:val="1"/>
        </w:numPr>
        <w:spacing w:beforeLines="50" w:afterLines="50" w:line="240" w:lineRule="auto"/>
        <w:rPr>
          <w:rFonts w:ascii="宋体" w:eastAsia="宋体" w:hAnsi="宋体" w:hint="eastAsia"/>
          <w:bCs/>
          <w:sz w:val="24"/>
          <w:szCs w:val="24"/>
        </w:rPr>
      </w:pPr>
      <w:bookmarkStart w:id="3" w:name="t_2_1_table"/>
      <w:bookmarkStart w:id="4" w:name="m01"/>
      <w:bookmarkEnd w:id="3"/>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220"/>
      </w:tblGrid>
      <w:tr w:rsidR="00A0562C">
        <w:tc>
          <w:tcPr>
            <w:tcW w:w="3600" w:type="dxa"/>
          </w:tcPr>
          <w:p w:rsidR="00A0562C" w:rsidRDefault="00A0562C">
            <w:pPr>
              <w:rPr>
                <w:rFonts w:ascii="宋体" w:hAnsi="宋体" w:hint="eastAsia"/>
                <w:szCs w:val="21"/>
              </w:rPr>
            </w:pPr>
            <w:bookmarkStart w:id="5" w:name="m01_tab"/>
            <w:r>
              <w:rPr>
                <w:rFonts w:ascii="宋体" w:hAnsi="宋体" w:hint="eastAsia"/>
                <w:szCs w:val="21"/>
              </w:rPr>
              <w:t>基金名称</w:t>
            </w:r>
          </w:p>
        </w:tc>
        <w:tc>
          <w:tcPr>
            <w:tcW w:w="5220" w:type="dxa"/>
          </w:tcPr>
          <w:p w:rsidR="00A0562C" w:rsidRDefault="00A0562C">
            <w:pPr>
              <w:rPr>
                <w:rFonts w:ascii="宋体" w:hAnsi="宋体" w:hint="eastAsia"/>
                <w:szCs w:val="21"/>
              </w:rPr>
            </w:pPr>
            <w:bookmarkStart w:id="6" w:name="t_2_1_0009_a1_fm1"/>
            <w:bookmarkEnd w:id="6"/>
            <w:r>
              <w:rPr>
                <w:rFonts w:ascii="宋体" w:hAnsi="宋体" w:hint="eastAsia"/>
                <w:szCs w:val="21"/>
              </w:rPr>
              <w:t>渤海汇金汇增利3个月定期开放债券型发起式证券投资基金</w:t>
            </w:r>
          </w:p>
        </w:tc>
      </w:tr>
      <w:tr w:rsidR="00A0562C">
        <w:tc>
          <w:tcPr>
            <w:tcW w:w="3600" w:type="dxa"/>
          </w:tcPr>
          <w:p w:rsidR="00A0562C" w:rsidRDefault="00A0562C">
            <w:pPr>
              <w:rPr>
                <w:rFonts w:ascii="宋体" w:hAnsi="宋体" w:hint="eastAsia"/>
                <w:szCs w:val="21"/>
              </w:rPr>
            </w:pPr>
            <w:r>
              <w:rPr>
                <w:rFonts w:ascii="宋体" w:hAnsi="宋体" w:hint="eastAsia"/>
                <w:szCs w:val="21"/>
              </w:rPr>
              <w:t>基金简称</w:t>
            </w:r>
          </w:p>
        </w:tc>
        <w:tc>
          <w:tcPr>
            <w:tcW w:w="5220" w:type="dxa"/>
          </w:tcPr>
          <w:p w:rsidR="00A0562C" w:rsidRDefault="00A0562C">
            <w:pPr>
              <w:rPr>
                <w:rFonts w:ascii="宋体" w:hAnsi="宋体" w:hint="eastAsia"/>
                <w:szCs w:val="21"/>
              </w:rPr>
            </w:pPr>
            <w:bookmarkStart w:id="7" w:name="t_2_1_0011_a1_fm1"/>
            <w:bookmarkEnd w:id="7"/>
            <w:r>
              <w:rPr>
                <w:rFonts w:ascii="宋体" w:hAnsi="宋体" w:hint="eastAsia"/>
                <w:szCs w:val="21"/>
              </w:rPr>
              <w:t>渤海汇金汇增利3个月定开</w:t>
            </w:r>
          </w:p>
        </w:tc>
      </w:tr>
      <w:tr w:rsidR="00A0562C">
        <w:tc>
          <w:tcPr>
            <w:tcW w:w="3600" w:type="dxa"/>
          </w:tcPr>
          <w:p w:rsidR="00A0562C" w:rsidRDefault="00A0562C">
            <w:pPr>
              <w:rPr>
                <w:rFonts w:ascii="宋体" w:hAnsi="宋体" w:hint="eastAsia"/>
                <w:szCs w:val="21"/>
              </w:rPr>
            </w:pPr>
            <w:r>
              <w:rPr>
                <w:rFonts w:ascii="宋体" w:hAnsi="宋体" w:hint="eastAsia"/>
                <w:szCs w:val="21"/>
              </w:rPr>
              <w:t>基金主代码</w:t>
            </w:r>
          </w:p>
        </w:tc>
        <w:tc>
          <w:tcPr>
            <w:tcW w:w="5220" w:type="dxa"/>
          </w:tcPr>
          <w:p w:rsidR="00A0562C" w:rsidRDefault="00A0562C">
            <w:pPr>
              <w:rPr>
                <w:rFonts w:ascii="宋体" w:hAnsi="宋体" w:hint="eastAsia"/>
                <w:szCs w:val="21"/>
              </w:rPr>
            </w:pPr>
            <w:bookmarkStart w:id="8" w:name="t_2_1_0012_a1_fm1"/>
            <w:bookmarkEnd w:id="8"/>
            <w:r>
              <w:rPr>
                <w:rFonts w:ascii="宋体" w:hAnsi="宋体" w:hint="eastAsia"/>
                <w:szCs w:val="21"/>
              </w:rPr>
              <w:t>005427</w:t>
            </w:r>
          </w:p>
        </w:tc>
      </w:tr>
      <w:tr w:rsidR="00A0562C">
        <w:tc>
          <w:tcPr>
            <w:tcW w:w="3600" w:type="dxa"/>
          </w:tcPr>
          <w:p w:rsidR="00A0562C" w:rsidRDefault="00A0562C">
            <w:pPr>
              <w:rPr>
                <w:rFonts w:ascii="宋体" w:hAnsi="宋体" w:hint="eastAsia"/>
                <w:szCs w:val="21"/>
              </w:rPr>
            </w:pPr>
            <w:r>
              <w:rPr>
                <w:rFonts w:ascii="宋体" w:hAnsi="宋体" w:hint="eastAsia"/>
                <w:szCs w:val="21"/>
              </w:rPr>
              <w:t>基金运作方式</w:t>
            </w:r>
          </w:p>
        </w:tc>
        <w:tc>
          <w:tcPr>
            <w:tcW w:w="5220" w:type="dxa"/>
          </w:tcPr>
          <w:p w:rsidR="00A0562C" w:rsidRDefault="00A0562C">
            <w:pPr>
              <w:rPr>
                <w:rFonts w:ascii="宋体" w:hAnsi="宋体" w:hint="eastAsia"/>
                <w:szCs w:val="21"/>
              </w:rPr>
            </w:pPr>
            <w:bookmarkStart w:id="9" w:name="t_2_1_0017_a1_fm1"/>
            <w:bookmarkEnd w:id="9"/>
            <w:r>
              <w:rPr>
                <w:rFonts w:ascii="宋体" w:hAnsi="宋体" w:hint="eastAsia"/>
                <w:szCs w:val="21"/>
              </w:rPr>
              <w:t>契约型开放式</w:t>
            </w:r>
          </w:p>
        </w:tc>
      </w:tr>
      <w:tr w:rsidR="00A0562C">
        <w:tc>
          <w:tcPr>
            <w:tcW w:w="3600" w:type="dxa"/>
          </w:tcPr>
          <w:p w:rsidR="00A0562C" w:rsidRDefault="00A0562C">
            <w:pPr>
              <w:rPr>
                <w:rFonts w:ascii="宋体" w:hAnsi="宋体" w:hint="eastAsia"/>
                <w:szCs w:val="21"/>
              </w:rPr>
            </w:pPr>
            <w:r>
              <w:rPr>
                <w:rFonts w:ascii="宋体" w:hAnsi="宋体" w:hint="eastAsia"/>
                <w:szCs w:val="21"/>
              </w:rPr>
              <w:t>基金合同生效日</w:t>
            </w:r>
          </w:p>
        </w:tc>
        <w:tc>
          <w:tcPr>
            <w:tcW w:w="5220" w:type="dxa"/>
          </w:tcPr>
          <w:p w:rsidR="00A0562C" w:rsidRDefault="00A0562C">
            <w:pPr>
              <w:rPr>
                <w:rFonts w:ascii="宋体" w:hAnsi="宋体" w:hint="eastAsia"/>
                <w:szCs w:val="21"/>
              </w:rPr>
            </w:pPr>
            <w:bookmarkStart w:id="10" w:name="t_2_1_0018_a1_fm1"/>
            <w:bookmarkEnd w:id="10"/>
            <w:r>
              <w:rPr>
                <w:rFonts w:ascii="宋体" w:hAnsi="宋体" w:hint="eastAsia"/>
                <w:szCs w:val="21"/>
              </w:rPr>
              <w:t>2017年12月28日</w:t>
            </w:r>
          </w:p>
        </w:tc>
      </w:tr>
      <w:tr w:rsidR="00A0562C">
        <w:tc>
          <w:tcPr>
            <w:tcW w:w="3600" w:type="dxa"/>
          </w:tcPr>
          <w:p w:rsidR="00A0562C" w:rsidRDefault="00A0562C">
            <w:pPr>
              <w:rPr>
                <w:rFonts w:ascii="宋体" w:hAnsi="宋体" w:hint="eastAsia"/>
                <w:szCs w:val="21"/>
              </w:rPr>
            </w:pPr>
            <w:r>
              <w:rPr>
                <w:rFonts w:ascii="宋体" w:hAnsi="宋体" w:hint="eastAsia"/>
                <w:szCs w:val="21"/>
              </w:rPr>
              <w:t>基金管理人名称</w:t>
            </w:r>
          </w:p>
        </w:tc>
        <w:tc>
          <w:tcPr>
            <w:tcW w:w="5220" w:type="dxa"/>
          </w:tcPr>
          <w:p w:rsidR="00A0562C" w:rsidRDefault="00A0562C">
            <w:pPr>
              <w:rPr>
                <w:rFonts w:ascii="宋体" w:hAnsi="宋体" w:hint="eastAsia"/>
                <w:szCs w:val="21"/>
              </w:rPr>
            </w:pPr>
            <w:bookmarkStart w:id="11" w:name="t_2_1_0186_a1_fm1"/>
            <w:bookmarkEnd w:id="11"/>
            <w:r>
              <w:rPr>
                <w:rFonts w:ascii="宋体" w:hAnsi="宋体" w:hint="eastAsia"/>
                <w:szCs w:val="21"/>
              </w:rPr>
              <w:t>渤海汇金证券资产管理有限公司</w:t>
            </w:r>
          </w:p>
        </w:tc>
      </w:tr>
      <w:tr w:rsidR="00A0562C">
        <w:tc>
          <w:tcPr>
            <w:tcW w:w="3600" w:type="dxa"/>
          </w:tcPr>
          <w:p w:rsidR="00A0562C" w:rsidRDefault="00A0562C">
            <w:pPr>
              <w:rPr>
                <w:rFonts w:ascii="宋体" w:hAnsi="宋体" w:hint="eastAsia"/>
                <w:szCs w:val="21"/>
              </w:rPr>
            </w:pPr>
            <w:r>
              <w:rPr>
                <w:rFonts w:ascii="宋体" w:hAnsi="宋体" w:hint="eastAsia"/>
                <w:szCs w:val="21"/>
              </w:rPr>
              <w:t>基金托管人名称</w:t>
            </w:r>
          </w:p>
        </w:tc>
        <w:tc>
          <w:tcPr>
            <w:tcW w:w="5220" w:type="dxa"/>
          </w:tcPr>
          <w:p w:rsidR="00A0562C" w:rsidRDefault="00A0562C">
            <w:pPr>
              <w:rPr>
                <w:rFonts w:ascii="宋体" w:hAnsi="宋体" w:hint="eastAsia"/>
                <w:szCs w:val="21"/>
              </w:rPr>
            </w:pPr>
            <w:bookmarkStart w:id="12" w:name="t_2_1_0213_a1_fm1"/>
            <w:bookmarkEnd w:id="12"/>
            <w:r>
              <w:rPr>
                <w:rFonts w:ascii="宋体" w:hAnsi="宋体" w:hint="eastAsia"/>
                <w:szCs w:val="21"/>
              </w:rPr>
              <w:t>中国建设银行股份有限公司</w:t>
            </w:r>
          </w:p>
        </w:tc>
      </w:tr>
      <w:tr w:rsidR="00A0562C">
        <w:tc>
          <w:tcPr>
            <w:tcW w:w="3600" w:type="dxa"/>
          </w:tcPr>
          <w:p w:rsidR="00A0562C" w:rsidRDefault="00A0562C">
            <w:pPr>
              <w:rPr>
                <w:rFonts w:ascii="宋体" w:hAnsi="宋体" w:hint="eastAsia"/>
                <w:szCs w:val="21"/>
              </w:rPr>
            </w:pPr>
            <w:r>
              <w:rPr>
                <w:rFonts w:ascii="宋体" w:hAnsi="宋体" w:hint="eastAsia"/>
                <w:szCs w:val="21"/>
              </w:rPr>
              <w:t>基金注册登记机构名称</w:t>
            </w:r>
          </w:p>
        </w:tc>
        <w:tc>
          <w:tcPr>
            <w:tcW w:w="5220" w:type="dxa"/>
          </w:tcPr>
          <w:p w:rsidR="00A0562C" w:rsidRDefault="00A0562C">
            <w:pPr>
              <w:rPr>
                <w:rFonts w:ascii="宋体" w:hAnsi="宋体" w:hint="eastAsia"/>
                <w:szCs w:val="21"/>
              </w:rPr>
            </w:pPr>
            <w:bookmarkStart w:id="13" w:name="t_2_1_0310_a1_fm1"/>
            <w:bookmarkEnd w:id="13"/>
            <w:r>
              <w:rPr>
                <w:rFonts w:ascii="宋体" w:hAnsi="宋体" w:hint="eastAsia"/>
                <w:szCs w:val="21"/>
              </w:rPr>
              <w:t>渤海汇金证券资产管理有限公司</w:t>
            </w:r>
          </w:p>
        </w:tc>
      </w:tr>
      <w:tr w:rsidR="00A0562C">
        <w:tc>
          <w:tcPr>
            <w:tcW w:w="3600" w:type="dxa"/>
          </w:tcPr>
          <w:p w:rsidR="00A0562C" w:rsidRDefault="00A0562C">
            <w:pPr>
              <w:rPr>
                <w:rFonts w:ascii="宋体" w:hAnsi="宋体" w:hint="eastAsia"/>
                <w:szCs w:val="21"/>
              </w:rPr>
            </w:pPr>
            <w:r>
              <w:rPr>
                <w:rFonts w:ascii="宋体" w:hAnsi="宋体" w:hint="eastAsia"/>
                <w:szCs w:val="21"/>
              </w:rPr>
              <w:t>公告依据</w:t>
            </w:r>
          </w:p>
        </w:tc>
        <w:tc>
          <w:tcPr>
            <w:tcW w:w="5220" w:type="dxa"/>
          </w:tcPr>
          <w:p w:rsidR="00A0562C" w:rsidRDefault="00A0562C">
            <w:pPr>
              <w:rPr>
                <w:rFonts w:ascii="宋体" w:hAnsi="宋体" w:hint="eastAsia"/>
                <w:szCs w:val="21"/>
              </w:rPr>
            </w:pPr>
            <w:bookmarkStart w:id="14" w:name="t_2_1_2631_a1_fm1"/>
            <w:bookmarkEnd w:id="14"/>
            <w:r>
              <w:rPr>
                <w:rFonts w:ascii="宋体" w:hAnsi="宋体" w:hint="eastAsia"/>
                <w:szCs w:val="21"/>
              </w:rPr>
              <w:t>《中华人民共和国证券投资基金法》、《公开募集证券投资基金运作管理办法》等法律法规以及《渤海汇金汇增利3个月定期开放债券型发起式证券投资基金基金合同》、《渤海汇金汇增利3个月定期开放债券型发起式证券投资基金招募说明书》</w:t>
            </w:r>
          </w:p>
        </w:tc>
      </w:tr>
      <w:tr w:rsidR="00A0562C">
        <w:tc>
          <w:tcPr>
            <w:tcW w:w="3600" w:type="dxa"/>
          </w:tcPr>
          <w:p w:rsidR="00A0562C" w:rsidRDefault="00A0562C">
            <w:pPr>
              <w:rPr>
                <w:rFonts w:ascii="宋体" w:hAnsi="宋体" w:hint="eastAsia"/>
                <w:szCs w:val="21"/>
              </w:rPr>
            </w:pPr>
            <w:r>
              <w:rPr>
                <w:rFonts w:ascii="宋体" w:hAnsi="宋体" w:hint="eastAsia"/>
                <w:szCs w:val="21"/>
              </w:rPr>
              <w:t>申购起始日</w:t>
            </w:r>
          </w:p>
        </w:tc>
        <w:tc>
          <w:tcPr>
            <w:tcW w:w="5220" w:type="dxa"/>
          </w:tcPr>
          <w:p w:rsidR="00A0562C" w:rsidRDefault="00A0562C">
            <w:pPr>
              <w:rPr>
                <w:rFonts w:ascii="宋体" w:hAnsi="宋体" w:hint="eastAsia"/>
                <w:szCs w:val="21"/>
              </w:rPr>
            </w:pPr>
            <w:bookmarkStart w:id="15" w:name="t_2_1_2660_a1_fm1"/>
            <w:bookmarkEnd w:id="15"/>
            <w:r>
              <w:rPr>
                <w:rFonts w:ascii="宋体" w:hAnsi="宋体" w:hint="eastAsia"/>
                <w:szCs w:val="21"/>
              </w:rPr>
              <w:t>2024年4月1日</w:t>
            </w:r>
          </w:p>
        </w:tc>
      </w:tr>
      <w:tr w:rsidR="00A0562C">
        <w:tc>
          <w:tcPr>
            <w:tcW w:w="3600" w:type="dxa"/>
          </w:tcPr>
          <w:p w:rsidR="00A0562C" w:rsidRDefault="00A0562C">
            <w:pPr>
              <w:rPr>
                <w:rFonts w:ascii="宋体" w:hAnsi="宋体" w:hint="eastAsia"/>
                <w:szCs w:val="21"/>
              </w:rPr>
            </w:pPr>
            <w:r>
              <w:rPr>
                <w:rFonts w:ascii="宋体" w:hAnsi="宋体" w:hint="eastAsia"/>
                <w:szCs w:val="21"/>
              </w:rPr>
              <w:t>赎回起始日</w:t>
            </w:r>
          </w:p>
        </w:tc>
        <w:tc>
          <w:tcPr>
            <w:tcW w:w="5220" w:type="dxa"/>
          </w:tcPr>
          <w:p w:rsidR="00A0562C" w:rsidRDefault="00A0562C">
            <w:pPr>
              <w:rPr>
                <w:rFonts w:ascii="宋体" w:hAnsi="宋体" w:hint="eastAsia"/>
                <w:szCs w:val="21"/>
              </w:rPr>
            </w:pPr>
            <w:bookmarkStart w:id="16" w:name="t_2_1_2661_a1_fm1"/>
            <w:bookmarkEnd w:id="16"/>
            <w:r>
              <w:rPr>
                <w:rFonts w:ascii="宋体" w:hAnsi="宋体" w:hint="eastAsia"/>
                <w:szCs w:val="21"/>
              </w:rPr>
              <w:t>2024年4月1日</w:t>
            </w:r>
          </w:p>
        </w:tc>
      </w:tr>
      <w:tr w:rsidR="00A0562C">
        <w:tc>
          <w:tcPr>
            <w:tcW w:w="3600" w:type="dxa"/>
          </w:tcPr>
          <w:p w:rsidR="00A0562C" w:rsidRDefault="00A0562C">
            <w:pPr>
              <w:rPr>
                <w:rFonts w:ascii="宋体" w:hAnsi="宋体" w:hint="eastAsia"/>
                <w:szCs w:val="21"/>
              </w:rPr>
            </w:pPr>
            <w:r>
              <w:rPr>
                <w:rFonts w:ascii="宋体" w:hAnsi="宋体" w:hint="eastAsia"/>
                <w:szCs w:val="21"/>
              </w:rPr>
              <w:t>转换转入起始日</w:t>
            </w:r>
          </w:p>
        </w:tc>
        <w:tc>
          <w:tcPr>
            <w:tcW w:w="5220" w:type="dxa"/>
          </w:tcPr>
          <w:p w:rsidR="00A0562C" w:rsidRDefault="00A0562C">
            <w:pPr>
              <w:rPr>
                <w:rFonts w:ascii="宋体" w:hAnsi="宋体" w:hint="eastAsia"/>
                <w:szCs w:val="21"/>
              </w:rPr>
            </w:pPr>
            <w:bookmarkStart w:id="17" w:name="t_2_1_2793_a1_fm1"/>
            <w:bookmarkEnd w:id="17"/>
            <w:r>
              <w:rPr>
                <w:rFonts w:ascii="宋体" w:hAnsi="宋体" w:hint="eastAsia"/>
                <w:szCs w:val="21"/>
              </w:rPr>
              <w:t>-</w:t>
            </w:r>
          </w:p>
        </w:tc>
      </w:tr>
      <w:tr w:rsidR="00A0562C">
        <w:tc>
          <w:tcPr>
            <w:tcW w:w="3600" w:type="dxa"/>
          </w:tcPr>
          <w:p w:rsidR="00A0562C" w:rsidRDefault="00A0562C">
            <w:pPr>
              <w:rPr>
                <w:rFonts w:ascii="宋体" w:hAnsi="宋体" w:hint="eastAsia"/>
                <w:szCs w:val="21"/>
              </w:rPr>
            </w:pPr>
            <w:r>
              <w:rPr>
                <w:rFonts w:ascii="宋体" w:hAnsi="宋体" w:hint="eastAsia"/>
                <w:szCs w:val="21"/>
              </w:rPr>
              <w:t>转换转出起始日</w:t>
            </w:r>
          </w:p>
        </w:tc>
        <w:tc>
          <w:tcPr>
            <w:tcW w:w="5220" w:type="dxa"/>
          </w:tcPr>
          <w:p w:rsidR="00A0562C" w:rsidRDefault="00A0562C">
            <w:pPr>
              <w:rPr>
                <w:rFonts w:ascii="宋体" w:hAnsi="宋体" w:hint="eastAsia"/>
                <w:szCs w:val="21"/>
              </w:rPr>
            </w:pPr>
            <w:bookmarkStart w:id="18" w:name="t_2_1_2794_a1_fm1"/>
            <w:bookmarkEnd w:id="18"/>
            <w:r>
              <w:rPr>
                <w:rFonts w:ascii="宋体" w:hAnsi="宋体" w:hint="eastAsia"/>
                <w:szCs w:val="21"/>
              </w:rPr>
              <w:t>-</w:t>
            </w:r>
          </w:p>
        </w:tc>
      </w:tr>
      <w:tr w:rsidR="00A0562C">
        <w:tc>
          <w:tcPr>
            <w:tcW w:w="3600" w:type="dxa"/>
          </w:tcPr>
          <w:p w:rsidR="00A0562C" w:rsidRDefault="00A0562C">
            <w:pPr>
              <w:rPr>
                <w:rFonts w:ascii="宋体" w:hAnsi="宋体" w:hint="eastAsia"/>
                <w:szCs w:val="21"/>
              </w:rPr>
            </w:pPr>
            <w:r>
              <w:rPr>
                <w:rFonts w:ascii="宋体" w:hAnsi="宋体" w:hint="eastAsia"/>
                <w:szCs w:val="21"/>
              </w:rPr>
              <w:t>定期定额投资起始日</w:t>
            </w:r>
          </w:p>
        </w:tc>
        <w:tc>
          <w:tcPr>
            <w:tcW w:w="5220" w:type="dxa"/>
          </w:tcPr>
          <w:p w:rsidR="00A0562C" w:rsidRDefault="00A0562C">
            <w:pPr>
              <w:rPr>
                <w:rFonts w:ascii="宋体" w:hAnsi="宋体" w:hint="eastAsia"/>
                <w:szCs w:val="21"/>
              </w:rPr>
            </w:pPr>
            <w:bookmarkStart w:id="19" w:name="t_2_1_2795_a1_fm1"/>
            <w:bookmarkEnd w:id="19"/>
            <w:r>
              <w:rPr>
                <w:rFonts w:ascii="宋体" w:hAnsi="宋体" w:hint="eastAsia"/>
                <w:szCs w:val="21"/>
              </w:rPr>
              <w:t>-</w:t>
            </w:r>
          </w:p>
        </w:tc>
      </w:tr>
    </w:tbl>
    <w:bookmarkEnd w:id="5"/>
    <w:p w:rsidR="00A0562C" w:rsidRDefault="00A0562C">
      <w:pPr>
        <w:spacing w:line="360" w:lineRule="auto"/>
        <w:jc w:val="left"/>
        <w:rPr>
          <w:rFonts w:ascii="宋体" w:hAnsi="宋体" w:hint="eastAsia"/>
          <w:color w:val="0000FF"/>
          <w:kern w:val="0"/>
          <w:szCs w:val="21"/>
        </w:rPr>
      </w:pPr>
      <w:r>
        <w:rPr>
          <w:rFonts w:ascii="宋体" w:hAnsi="宋体" w:hint="eastAsia"/>
          <w:szCs w:val="21"/>
        </w:rPr>
        <w:t>注：本次仅开放申购、赎回业务，转换业务和定期定额投资业务具体开放时间将另行公告</w:t>
      </w:r>
    </w:p>
    <w:bookmarkEnd w:id="4"/>
    <w:p w:rsidR="00A0562C" w:rsidRDefault="00A0562C">
      <w:pPr>
        <w:rPr>
          <w:rFonts w:ascii="宋体" w:hAnsi="宋体" w:hint="eastAsia"/>
          <w:color w:val="0000FF"/>
          <w:kern w:val="0"/>
          <w:sz w:val="18"/>
        </w:rPr>
      </w:pPr>
    </w:p>
    <w:p w:rsidR="00A0562C" w:rsidRDefault="00A0562C">
      <w:pPr>
        <w:pStyle w:val="2"/>
        <w:numPr>
          <w:ilvl w:val="0"/>
          <w:numId w:val="1"/>
        </w:numPr>
        <w:spacing w:beforeLines="50" w:afterLines="50" w:line="240" w:lineRule="auto"/>
        <w:jc w:val="left"/>
        <w:rPr>
          <w:rFonts w:ascii="宋体" w:eastAsia="宋体" w:hAnsi="宋体" w:hint="eastAsia"/>
          <w:bCs/>
          <w:sz w:val="24"/>
          <w:szCs w:val="24"/>
        </w:rPr>
      </w:pPr>
      <w:bookmarkStart w:id="20" w:name="t_2_2_table"/>
      <w:bookmarkEnd w:id="20"/>
      <w:r>
        <w:rPr>
          <w:rFonts w:ascii="宋体" w:eastAsia="宋体" w:hAnsi="宋体" w:hint="eastAsia"/>
          <w:bCs/>
          <w:sz w:val="24"/>
          <w:szCs w:val="24"/>
        </w:rPr>
        <w:t>申购、赎回业务的办理时间</w:t>
      </w:r>
    </w:p>
    <w:p w:rsidR="00A0562C" w:rsidRDefault="00A0562C">
      <w:pPr>
        <w:spacing w:line="360" w:lineRule="auto"/>
        <w:ind w:firstLineChars="200" w:firstLine="420"/>
        <w:rPr>
          <w:rFonts w:ascii="宋体" w:hAnsi="宋体" w:hint="eastAsia"/>
          <w:szCs w:val="21"/>
        </w:rPr>
      </w:pPr>
      <w:bookmarkStart w:id="21" w:name="t_2_2_2819_a1_fm1"/>
      <w:bookmarkEnd w:id="21"/>
      <w:r>
        <w:rPr>
          <w:rFonts w:ascii="宋体" w:hAnsi="宋体" w:hint="eastAsia"/>
          <w:szCs w:val="21"/>
        </w:rPr>
        <w:t>（1）根据渤海汇金汇增利3个月定期开放债券型发起式证券投资基金（以下简称：“本基金”）《基金合同》（以下简称“《基金合同》”）的规定，本基金的封闭期为自本基金《基金合同》生效之日起（包括该日）或自每一个开放期结束之日的次日起（包括该次日）至3个月月度对日（包括该日）的期间。本基金自每个封闭期结束之后第一个工作日起（包括该日）进入开放期，每个开放期原则上不少于5个工作日且最长不超过20工作日。</w:t>
      </w:r>
    </w:p>
    <w:p w:rsidR="00A0562C" w:rsidRDefault="00A0562C">
      <w:pPr>
        <w:spacing w:line="360" w:lineRule="auto"/>
        <w:ind w:firstLineChars="200" w:firstLine="420"/>
        <w:rPr>
          <w:rFonts w:ascii="宋体" w:hAnsi="宋体" w:hint="eastAsia"/>
          <w:szCs w:val="21"/>
        </w:rPr>
      </w:pPr>
      <w:r>
        <w:rPr>
          <w:rFonts w:ascii="宋体" w:hAnsi="宋体" w:hint="eastAsia"/>
          <w:szCs w:val="21"/>
        </w:rPr>
        <w:t>本基金第二十二个开放期为2024年4月1日至2024年4月9日的每个交易所交易日，开放期内，本基金采取开放运作方式，投资人可以办理申购与赎回业务。自2024年4月10日起，本基金将进入下一个封闭期，封闭期内不接受申购、赎回申请。</w:t>
      </w:r>
    </w:p>
    <w:p w:rsidR="00A0562C" w:rsidRDefault="00A0562C">
      <w:pPr>
        <w:spacing w:line="360" w:lineRule="auto"/>
        <w:ind w:firstLineChars="200" w:firstLine="420"/>
        <w:rPr>
          <w:rFonts w:ascii="宋体" w:hAnsi="宋体" w:hint="eastAsia"/>
          <w:szCs w:val="21"/>
        </w:rPr>
      </w:pPr>
      <w:r>
        <w:rPr>
          <w:rFonts w:ascii="宋体" w:hAnsi="宋体" w:hint="eastAsia"/>
          <w:szCs w:val="21"/>
        </w:rPr>
        <w:t>（2）投资人在开放日办理本基金份额的申购和赎回业务，具体办理时间为上海证券交易所、深圳证券交易所的正常交易日的交易时间，但基金管理人根据法律法规、中国证监会的要求或《基金合同》的规定公告暂停申购、赎回时除外。</w:t>
      </w:r>
      <w:r>
        <w:rPr>
          <w:rFonts w:ascii="宋体" w:hAnsi="宋体" w:hint="eastAsia"/>
          <w:szCs w:val="21"/>
        </w:rPr>
        <w:tab/>
      </w:r>
    </w:p>
    <w:p w:rsidR="00A0562C" w:rsidRDefault="00A0562C">
      <w:pPr>
        <w:spacing w:line="360" w:lineRule="auto"/>
        <w:ind w:firstLineChars="200" w:firstLine="420"/>
        <w:rPr>
          <w:rFonts w:ascii="宋体" w:hAnsi="宋体" w:hint="eastAsia"/>
          <w:szCs w:val="21"/>
        </w:rPr>
      </w:pPr>
      <w:r>
        <w:rPr>
          <w:rFonts w:ascii="宋体" w:hAnsi="宋体" w:hint="eastAsia"/>
          <w:szCs w:val="21"/>
        </w:rPr>
        <w:t>《基金合同》生效后，若出现新的证券交易市场、证券交易所交易时间变更或其他特殊情况，</w:t>
      </w:r>
      <w:r>
        <w:rPr>
          <w:rFonts w:ascii="宋体" w:hAnsi="宋体" w:hint="eastAsia"/>
          <w:szCs w:val="21"/>
        </w:rPr>
        <w:lastRenderedPageBreak/>
        <w:t>基金管理人将视情况对前述开放日及开放时间进行相应的调整，但应在实施日前依照《公开募集证券投资基金信息披露管理办法》（以下简称“《信息披露办法》”）的有关规定在指定媒介上公告。</w:t>
      </w:r>
    </w:p>
    <w:p w:rsidR="00A0562C" w:rsidRDefault="00A0562C">
      <w:pPr>
        <w:spacing w:line="360" w:lineRule="auto"/>
        <w:ind w:firstLineChars="200" w:firstLine="420"/>
        <w:rPr>
          <w:rFonts w:ascii="宋体" w:hAnsi="宋体" w:hint="eastAsia"/>
          <w:szCs w:val="21"/>
        </w:rPr>
      </w:pPr>
      <w:r>
        <w:rPr>
          <w:rFonts w:ascii="宋体" w:hAnsi="宋体" w:hint="eastAsia"/>
          <w:szCs w:val="21"/>
        </w:rPr>
        <w:t>（3）基金管理人不得在基金合同约定之外的日期和时间办理基金份额的申购、赎回。在开放期内，投资人在《基金合同》约定之外的日期和时间提出申购、赎回申请且登记机构确认接受的，其基金份额申购、赎回价格为该开放期下一开放日基金份额申购、赎回的价格。但是，在开放期内最后一个开放日，投资者在业务办理时间结束之后提出申购、赎回或转换申请的，视为无效申请。</w:t>
      </w:r>
    </w:p>
    <w:p w:rsidR="00A0562C" w:rsidRDefault="00A0562C">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申购业务</w:t>
      </w:r>
    </w:p>
    <w:p w:rsidR="00A0562C" w:rsidRDefault="00A0562C">
      <w:pPr>
        <w:numPr>
          <w:ilvl w:val="1"/>
          <w:numId w:val="1"/>
        </w:numPr>
        <w:spacing w:beforeLines="50" w:afterLines="50"/>
        <w:rPr>
          <w:rFonts w:ascii="宋体" w:hAnsi="宋体" w:hint="eastAsia"/>
          <w:b/>
          <w:sz w:val="24"/>
          <w:szCs w:val="20"/>
        </w:rPr>
      </w:pPr>
      <w:bookmarkStart w:id="22" w:name="t_2_3_1_table"/>
      <w:bookmarkEnd w:id="22"/>
      <w:r>
        <w:rPr>
          <w:rFonts w:ascii="宋体" w:hAnsi="宋体" w:hint="eastAsia"/>
          <w:b/>
          <w:sz w:val="24"/>
          <w:szCs w:val="20"/>
        </w:rPr>
        <w:t>申购金额限制</w:t>
      </w:r>
    </w:p>
    <w:p w:rsidR="00A0562C" w:rsidRDefault="00A0562C">
      <w:pPr>
        <w:spacing w:line="360" w:lineRule="auto"/>
        <w:ind w:firstLineChars="200" w:firstLine="420"/>
        <w:jc w:val="left"/>
        <w:rPr>
          <w:rFonts w:ascii="宋体" w:hAnsi="宋体" w:hint="eastAsia"/>
          <w:szCs w:val="21"/>
        </w:rPr>
      </w:pPr>
      <w:bookmarkStart w:id="23" w:name="t_2_3_1_2820_a1_fm1"/>
      <w:bookmarkEnd w:id="23"/>
      <w:r>
        <w:rPr>
          <w:rFonts w:ascii="宋体" w:hAnsi="宋体" w:hint="eastAsia"/>
          <w:szCs w:val="21"/>
        </w:rPr>
        <w:t>投资者申购本基金份额时,通过直销机构每笔申购金额不得低于10元(含申购费),通过其他销售机构每笔申购金额不得低于10元(含申购费),超过最低申购金额的部分不设金额级差；销售机构若有不同规定,以销售机构规定为准。</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基金管理人可在法律法规允许的情况下，调整上述规定申购金额数量限制。基金管理人必须在调整实施前依照《信息披露办法》的有关规定在指定媒介上公告。</w:t>
      </w:r>
    </w:p>
    <w:p w:rsidR="00A0562C" w:rsidRDefault="00A0562C">
      <w:pPr>
        <w:numPr>
          <w:ilvl w:val="1"/>
          <w:numId w:val="1"/>
        </w:numPr>
        <w:spacing w:beforeLines="50" w:afterLines="50"/>
        <w:rPr>
          <w:rFonts w:ascii="宋体" w:hAnsi="宋体" w:hint="eastAsia"/>
          <w:b/>
          <w:sz w:val="24"/>
          <w:szCs w:val="20"/>
        </w:rPr>
      </w:pPr>
      <w:bookmarkStart w:id="24" w:name="t_2_3_2_table"/>
      <w:bookmarkEnd w:id="24"/>
      <w:r>
        <w:rPr>
          <w:rFonts w:ascii="宋体" w:hAnsi="宋体" w:hint="eastAsia"/>
          <w:b/>
          <w:sz w:val="24"/>
          <w:szCs w:val="20"/>
        </w:rPr>
        <w:t>申购费率</w:t>
      </w:r>
    </w:p>
    <w:p w:rsidR="00A0562C" w:rsidRDefault="00A0562C">
      <w:pPr>
        <w:ind w:firstLineChars="200" w:firstLine="420"/>
        <w:jc w:val="left"/>
        <w:rPr>
          <w:rFonts w:ascii="宋体" w:hAnsi="宋体" w:hint="eastAsia"/>
          <w:szCs w:val="21"/>
        </w:rPr>
      </w:pPr>
      <w:bookmarkStart w:id="25" w:name="t_2_3_2_2842_a1_fm1"/>
      <w:bookmarkEnd w:id="25"/>
      <w:r>
        <w:rPr>
          <w:rFonts w:ascii="宋体" w:hAnsi="宋体" w:hint="eastAsia"/>
          <w:szCs w:val="21"/>
        </w:rPr>
        <w:t>本基金采用金额申购方式，基金份额的申购费率如下表：</w:t>
      </w:r>
    </w:p>
    <w:p w:rsidR="00A0562C" w:rsidRDefault="00A0562C">
      <w:pPr>
        <w:numPr>
          <w:ilvl w:val="2"/>
          <w:numId w:val="1"/>
        </w:numPr>
        <w:spacing w:beforeLines="50" w:afterLines="50"/>
        <w:jc w:val="left"/>
        <w:rPr>
          <w:rFonts w:ascii="宋体" w:hAnsi="宋体" w:hint="eastAsia"/>
          <w:b/>
          <w:sz w:val="24"/>
          <w:szCs w:val="20"/>
        </w:rPr>
      </w:pPr>
      <w:bookmarkStart w:id="26" w:name="m03_02_01"/>
      <w:r>
        <w:rPr>
          <w:rFonts w:ascii="宋体" w:hAnsi="宋体" w:hint="eastAsia"/>
          <w:b/>
          <w:sz w:val="24"/>
          <w:szCs w:val="20"/>
        </w:rPr>
        <w:t>前端收费</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6"/>
        <w:gridCol w:w="3240"/>
        <w:gridCol w:w="2616"/>
      </w:tblGrid>
      <w:tr w:rsidR="00A0562C">
        <w:trPr>
          <w:trHeight w:val="442"/>
          <w:jc w:val="center"/>
        </w:trPr>
        <w:tc>
          <w:tcPr>
            <w:tcW w:w="2936" w:type="dxa"/>
            <w:vAlign w:val="center"/>
          </w:tcPr>
          <w:p w:rsidR="00A0562C" w:rsidRDefault="00A0562C">
            <w:pPr>
              <w:jc w:val="center"/>
              <w:rPr>
                <w:rFonts w:ascii="Times New Roman" w:hAnsi="Times New Roman" w:hint="eastAsia"/>
                <w:szCs w:val="21"/>
              </w:rPr>
            </w:pPr>
            <w:bookmarkStart w:id="27" w:name="m03_02_01_tab"/>
            <w:r>
              <w:rPr>
                <w:rFonts w:ascii="Times New Roman" w:hAnsi="Times New Roman" w:hint="eastAsia"/>
                <w:szCs w:val="21"/>
              </w:rPr>
              <w:t>申购金额（</w:t>
            </w:r>
            <w:r>
              <w:rPr>
                <w:rFonts w:ascii="Times New Roman" w:hAnsi="Times New Roman" w:hint="eastAsia"/>
                <w:szCs w:val="21"/>
              </w:rPr>
              <w:t>M</w:t>
            </w:r>
            <w:r>
              <w:rPr>
                <w:rFonts w:ascii="Times New Roman" w:hAnsi="Times New Roman" w:hint="eastAsia"/>
                <w:szCs w:val="21"/>
              </w:rPr>
              <w:t>）</w:t>
            </w:r>
          </w:p>
        </w:tc>
        <w:tc>
          <w:tcPr>
            <w:tcW w:w="3240" w:type="dxa"/>
            <w:vAlign w:val="center"/>
          </w:tcPr>
          <w:p w:rsidR="00A0562C" w:rsidRDefault="00A0562C">
            <w:pPr>
              <w:jc w:val="center"/>
              <w:rPr>
                <w:rFonts w:ascii="Times New Roman" w:hAnsi="Times New Roman" w:hint="eastAsia"/>
                <w:szCs w:val="21"/>
              </w:rPr>
            </w:pPr>
            <w:r>
              <w:rPr>
                <w:rFonts w:ascii="Times New Roman" w:hAnsi="Times New Roman" w:hint="eastAsia"/>
                <w:szCs w:val="21"/>
              </w:rPr>
              <w:t>申购费率</w:t>
            </w:r>
          </w:p>
        </w:tc>
        <w:tc>
          <w:tcPr>
            <w:tcW w:w="2616" w:type="dxa"/>
            <w:vAlign w:val="center"/>
          </w:tcPr>
          <w:p w:rsidR="00A0562C" w:rsidRDefault="00A0562C">
            <w:pPr>
              <w:jc w:val="center"/>
              <w:rPr>
                <w:rFonts w:ascii="Times New Roman" w:hAnsi="Times New Roman" w:hint="eastAsia"/>
                <w:szCs w:val="21"/>
              </w:rPr>
            </w:pPr>
            <w:r>
              <w:rPr>
                <w:rFonts w:ascii="Times New Roman" w:hAnsi="Times New Roman" w:hint="eastAsia"/>
                <w:szCs w:val="21"/>
              </w:rPr>
              <w:t>备注</w:t>
            </w:r>
          </w:p>
        </w:tc>
      </w:tr>
      <w:tr w:rsidR="00A0562C">
        <w:trPr>
          <w:jc w:val="center"/>
        </w:trPr>
        <w:tc>
          <w:tcPr>
            <w:tcW w:w="2936" w:type="dxa"/>
          </w:tcPr>
          <w:p w:rsidR="00A0562C" w:rsidRDefault="00A0562C">
            <w:pPr>
              <w:jc w:val="center"/>
              <w:rPr>
                <w:rFonts w:ascii="宋体" w:hAnsi="宋体" w:hint="eastAsia"/>
                <w:szCs w:val="21"/>
              </w:rPr>
            </w:pPr>
            <w:bookmarkStart w:id="28" w:name="t_2_3_2_q_01_2682_a1_fm2210"/>
            <w:bookmarkEnd w:id="28"/>
            <w:r>
              <w:rPr>
                <w:rFonts w:ascii="宋体" w:hAnsi="宋体" w:hint="eastAsia"/>
                <w:szCs w:val="21"/>
              </w:rPr>
              <w:t>M&lt;1000000</w:t>
            </w:r>
          </w:p>
        </w:tc>
        <w:tc>
          <w:tcPr>
            <w:tcW w:w="3240" w:type="dxa"/>
          </w:tcPr>
          <w:p w:rsidR="00A0562C" w:rsidRDefault="00A0562C">
            <w:pPr>
              <w:jc w:val="center"/>
              <w:rPr>
                <w:rFonts w:ascii="宋体" w:hAnsi="宋体" w:hint="eastAsia"/>
                <w:szCs w:val="21"/>
              </w:rPr>
            </w:pPr>
            <w:bookmarkStart w:id="29" w:name="t_2_3_2_q_02_2683_a1_fm2412"/>
            <w:bookmarkEnd w:id="29"/>
            <w:r>
              <w:rPr>
                <w:rFonts w:ascii="宋体" w:hAnsi="宋体" w:hint="eastAsia"/>
                <w:szCs w:val="21"/>
              </w:rPr>
              <w:t>0.80%</w:t>
            </w:r>
          </w:p>
        </w:tc>
        <w:tc>
          <w:tcPr>
            <w:tcW w:w="2616" w:type="dxa"/>
          </w:tcPr>
          <w:p w:rsidR="00A0562C" w:rsidRDefault="00A0562C">
            <w:pPr>
              <w:rPr>
                <w:rFonts w:ascii="宋体" w:hAnsi="宋体" w:hint="eastAsia"/>
                <w:szCs w:val="21"/>
              </w:rPr>
            </w:pPr>
            <w:bookmarkStart w:id="30" w:name="t_2_3_2_q_03_2684_a1_fm1"/>
            <w:bookmarkEnd w:id="30"/>
            <w:r>
              <w:rPr>
                <w:rFonts w:ascii="宋体" w:hAnsi="宋体" w:hint="eastAsia"/>
                <w:szCs w:val="21"/>
              </w:rPr>
              <w:t>-</w:t>
            </w:r>
          </w:p>
        </w:tc>
      </w:tr>
      <w:tr w:rsidR="00A0562C">
        <w:trPr>
          <w:jc w:val="center"/>
        </w:trPr>
        <w:tc>
          <w:tcPr>
            <w:tcW w:w="2936" w:type="dxa"/>
          </w:tcPr>
          <w:p w:rsidR="00A0562C" w:rsidRDefault="00A0562C">
            <w:pPr>
              <w:jc w:val="center"/>
              <w:rPr>
                <w:rFonts w:ascii="宋体" w:hAnsi="宋体" w:hint="eastAsia"/>
                <w:szCs w:val="21"/>
              </w:rPr>
            </w:pPr>
            <w:r>
              <w:rPr>
                <w:rFonts w:ascii="宋体" w:hAnsi="宋体" w:hint="eastAsia"/>
                <w:szCs w:val="21"/>
              </w:rPr>
              <w:t>1000000&lt;=M&lt;3000000</w:t>
            </w:r>
          </w:p>
        </w:tc>
        <w:tc>
          <w:tcPr>
            <w:tcW w:w="3240" w:type="dxa"/>
          </w:tcPr>
          <w:p w:rsidR="00A0562C" w:rsidRDefault="00A0562C">
            <w:pPr>
              <w:jc w:val="center"/>
              <w:rPr>
                <w:rFonts w:ascii="宋体" w:hAnsi="宋体" w:hint="eastAsia"/>
                <w:szCs w:val="21"/>
              </w:rPr>
            </w:pPr>
            <w:r>
              <w:rPr>
                <w:rFonts w:ascii="宋体" w:hAnsi="宋体" w:hint="eastAsia"/>
                <w:szCs w:val="21"/>
              </w:rPr>
              <w:t>0.50%</w:t>
            </w:r>
          </w:p>
        </w:tc>
        <w:tc>
          <w:tcPr>
            <w:tcW w:w="2616" w:type="dxa"/>
          </w:tcPr>
          <w:p w:rsidR="00A0562C" w:rsidRDefault="00A0562C">
            <w:pPr>
              <w:rPr>
                <w:rFonts w:ascii="宋体" w:hAnsi="宋体" w:hint="eastAsia"/>
                <w:szCs w:val="21"/>
              </w:rPr>
            </w:pPr>
            <w:r>
              <w:rPr>
                <w:rFonts w:ascii="宋体" w:hAnsi="宋体" w:hint="eastAsia"/>
                <w:szCs w:val="21"/>
              </w:rPr>
              <w:t>-</w:t>
            </w:r>
          </w:p>
        </w:tc>
      </w:tr>
      <w:tr w:rsidR="00A0562C">
        <w:trPr>
          <w:jc w:val="center"/>
        </w:trPr>
        <w:tc>
          <w:tcPr>
            <w:tcW w:w="2936" w:type="dxa"/>
          </w:tcPr>
          <w:p w:rsidR="00A0562C" w:rsidRDefault="00A0562C">
            <w:pPr>
              <w:jc w:val="center"/>
              <w:rPr>
                <w:rFonts w:ascii="宋体" w:hAnsi="宋体" w:hint="eastAsia"/>
                <w:szCs w:val="21"/>
              </w:rPr>
            </w:pPr>
            <w:r>
              <w:rPr>
                <w:rFonts w:ascii="宋体" w:hAnsi="宋体" w:hint="eastAsia"/>
                <w:szCs w:val="21"/>
              </w:rPr>
              <w:t>3000000&lt;=M&lt;5000000</w:t>
            </w:r>
          </w:p>
        </w:tc>
        <w:tc>
          <w:tcPr>
            <w:tcW w:w="3240" w:type="dxa"/>
          </w:tcPr>
          <w:p w:rsidR="00A0562C" w:rsidRDefault="00A0562C">
            <w:pPr>
              <w:jc w:val="center"/>
              <w:rPr>
                <w:rFonts w:ascii="宋体" w:hAnsi="宋体" w:hint="eastAsia"/>
                <w:szCs w:val="21"/>
              </w:rPr>
            </w:pPr>
            <w:r>
              <w:rPr>
                <w:rFonts w:ascii="宋体" w:hAnsi="宋体" w:hint="eastAsia"/>
                <w:szCs w:val="21"/>
              </w:rPr>
              <w:t>0.30%</w:t>
            </w:r>
          </w:p>
        </w:tc>
        <w:tc>
          <w:tcPr>
            <w:tcW w:w="2616" w:type="dxa"/>
          </w:tcPr>
          <w:p w:rsidR="00A0562C" w:rsidRDefault="00A0562C">
            <w:pPr>
              <w:rPr>
                <w:rFonts w:ascii="宋体" w:hAnsi="宋体" w:hint="eastAsia"/>
                <w:szCs w:val="21"/>
              </w:rPr>
            </w:pPr>
            <w:r>
              <w:rPr>
                <w:rFonts w:ascii="宋体" w:hAnsi="宋体" w:hint="eastAsia"/>
                <w:szCs w:val="21"/>
              </w:rPr>
              <w:t>-</w:t>
            </w:r>
          </w:p>
        </w:tc>
      </w:tr>
      <w:tr w:rsidR="00A0562C">
        <w:trPr>
          <w:jc w:val="center"/>
        </w:trPr>
        <w:tc>
          <w:tcPr>
            <w:tcW w:w="2936" w:type="dxa"/>
          </w:tcPr>
          <w:p w:rsidR="00A0562C" w:rsidRDefault="00A0562C">
            <w:pPr>
              <w:jc w:val="center"/>
              <w:rPr>
                <w:rFonts w:ascii="宋体" w:hAnsi="宋体" w:hint="eastAsia"/>
                <w:szCs w:val="21"/>
              </w:rPr>
            </w:pPr>
            <w:r>
              <w:rPr>
                <w:rFonts w:ascii="宋体" w:hAnsi="宋体" w:hint="eastAsia"/>
                <w:szCs w:val="21"/>
              </w:rPr>
              <w:t>5000000&lt;=M</w:t>
            </w:r>
          </w:p>
        </w:tc>
        <w:tc>
          <w:tcPr>
            <w:tcW w:w="3240" w:type="dxa"/>
          </w:tcPr>
          <w:p w:rsidR="00A0562C" w:rsidRDefault="00A0562C">
            <w:pPr>
              <w:jc w:val="center"/>
              <w:rPr>
                <w:rFonts w:ascii="宋体" w:hAnsi="宋体" w:hint="eastAsia"/>
                <w:szCs w:val="21"/>
              </w:rPr>
            </w:pPr>
            <w:r>
              <w:rPr>
                <w:rFonts w:ascii="宋体" w:hAnsi="宋体" w:hint="eastAsia"/>
                <w:szCs w:val="21"/>
              </w:rPr>
              <w:t>500元/笔</w:t>
            </w:r>
          </w:p>
        </w:tc>
        <w:tc>
          <w:tcPr>
            <w:tcW w:w="2616" w:type="dxa"/>
          </w:tcPr>
          <w:p w:rsidR="00A0562C" w:rsidRDefault="00A0562C">
            <w:pPr>
              <w:rPr>
                <w:rFonts w:ascii="宋体" w:hAnsi="宋体" w:hint="eastAsia"/>
                <w:szCs w:val="21"/>
              </w:rPr>
            </w:pPr>
            <w:r>
              <w:rPr>
                <w:rFonts w:ascii="宋体" w:hAnsi="宋体" w:hint="eastAsia"/>
                <w:szCs w:val="21"/>
              </w:rPr>
              <w:t>-</w:t>
            </w:r>
          </w:p>
        </w:tc>
      </w:tr>
    </w:tbl>
    <w:bookmarkEnd w:id="27"/>
    <w:p w:rsidR="00A0562C" w:rsidRDefault="00A0562C">
      <w:pPr>
        <w:spacing w:line="360" w:lineRule="auto"/>
        <w:jc w:val="left"/>
        <w:rPr>
          <w:rFonts w:ascii="宋体" w:hAnsi="宋体" w:hint="eastAsia"/>
          <w:szCs w:val="21"/>
        </w:rPr>
      </w:pPr>
      <w:r>
        <w:rPr>
          <w:rFonts w:ascii="宋体" w:hAnsi="宋体" w:hint="eastAsia"/>
          <w:szCs w:val="21"/>
        </w:rPr>
        <w:t>注：（1）申购单位M的单位为人民币元。</w:t>
      </w:r>
    </w:p>
    <w:p w:rsidR="00A0562C" w:rsidRDefault="00A0562C">
      <w:pPr>
        <w:spacing w:line="360" w:lineRule="auto"/>
        <w:jc w:val="left"/>
        <w:rPr>
          <w:rFonts w:ascii="宋体" w:hAnsi="宋体" w:hint="eastAsia"/>
          <w:szCs w:val="21"/>
        </w:rPr>
      </w:pPr>
      <w:r>
        <w:rPr>
          <w:rFonts w:ascii="宋体" w:hAnsi="宋体" w:hint="eastAsia"/>
          <w:szCs w:val="21"/>
        </w:rPr>
        <w:t>（2）在申购费按金额分档的情况下，如果投资者多次申购，申购费适用单笔申购金额所对应的费率。</w:t>
      </w:r>
    </w:p>
    <w:bookmarkEnd w:id="26"/>
    <w:p w:rsidR="00A0562C" w:rsidRDefault="00A0562C">
      <w:pPr>
        <w:numPr>
          <w:ilvl w:val="2"/>
          <w:numId w:val="1"/>
        </w:numPr>
        <w:spacing w:beforeLines="50" w:afterLines="50"/>
        <w:jc w:val="left"/>
        <w:rPr>
          <w:rFonts w:ascii="宋体" w:hAnsi="宋体" w:hint="eastAsia"/>
          <w:b/>
          <w:sz w:val="24"/>
          <w:szCs w:val="20"/>
        </w:rPr>
      </w:pPr>
      <w:r>
        <w:rPr>
          <w:rFonts w:ascii="宋体" w:hAnsi="宋体" w:hint="eastAsia"/>
          <w:b/>
          <w:sz w:val="24"/>
          <w:szCs w:val="20"/>
        </w:rPr>
        <w:t>后端收费</w:t>
      </w:r>
      <w:bookmarkStart w:id="31" w:name="t_2_3_2_h_2690_a1_fm1"/>
    </w:p>
    <w:bookmarkEnd w:id="31"/>
    <w:p w:rsidR="00A0562C" w:rsidRDefault="00A0562C">
      <w:pPr>
        <w:spacing w:line="360" w:lineRule="auto"/>
        <w:rPr>
          <w:rFonts w:hint="eastAsia"/>
          <w:szCs w:val="21"/>
        </w:rPr>
      </w:pPr>
      <w:r>
        <w:rPr>
          <w:rFonts w:ascii="宋体" w:hAnsi="宋体" w:hint="eastAsia"/>
          <w:szCs w:val="21"/>
        </w:rPr>
        <w:t>-</w:t>
      </w:r>
    </w:p>
    <w:p w:rsidR="00A0562C" w:rsidRDefault="00A0562C">
      <w:pPr>
        <w:numPr>
          <w:ilvl w:val="1"/>
          <w:numId w:val="1"/>
        </w:numPr>
        <w:spacing w:beforeLines="50" w:afterLines="50"/>
        <w:jc w:val="left"/>
        <w:rPr>
          <w:rFonts w:ascii="宋体" w:hAnsi="宋体" w:hint="eastAsia"/>
          <w:b/>
          <w:sz w:val="24"/>
          <w:szCs w:val="20"/>
        </w:rPr>
      </w:pPr>
      <w:bookmarkStart w:id="32" w:name="t_2_3_3_table"/>
      <w:bookmarkEnd w:id="32"/>
      <w:r>
        <w:rPr>
          <w:rFonts w:ascii="宋体" w:hAnsi="宋体" w:hint="eastAsia"/>
          <w:b/>
          <w:sz w:val="24"/>
          <w:szCs w:val="20"/>
        </w:rPr>
        <w:t>其他与申购相关的事项</w:t>
      </w:r>
    </w:p>
    <w:p w:rsidR="00A0562C" w:rsidRDefault="00A0562C" w:rsidP="00DF25B3">
      <w:pPr>
        <w:spacing w:line="360" w:lineRule="auto"/>
        <w:ind w:firstLineChars="200" w:firstLine="420"/>
        <w:jc w:val="left"/>
        <w:rPr>
          <w:rFonts w:ascii="宋体" w:hAnsi="宋体" w:hint="eastAsia"/>
          <w:szCs w:val="21"/>
        </w:rPr>
      </w:pPr>
      <w:bookmarkStart w:id="33" w:name="t_2_3_3_2821_a1_fm1"/>
      <w:bookmarkEnd w:id="33"/>
      <w:r>
        <w:rPr>
          <w:rFonts w:ascii="宋体" w:hAnsi="宋体" w:hint="eastAsia"/>
          <w:szCs w:val="21"/>
        </w:rPr>
        <w:t>（1）“未知价”原则，即申购价格以申请当日收市后计算的基金份额净值为基准进行计算。</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（2）“金额申购”原则，即申购以金额申请。</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（3）当日的申购申请可以在基金管理人规定的时间以内撤销，但申请经登记机构受理的不得撤销，基金销售机构另有规定的，以基金销售机构的规定为准。</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（4）申购份额的计算公式</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1）申购费用适用比例费率时,申购份额的计算方法如下:</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净申购金额=申购金额/（1+申购费率）</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申购费用=申购金额-净申购金额</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申购份额=净申购金额÷T日基金份额净值</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2）申购费用为固定金额时,申购份额的计算方法如下:</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申购费用=固定金额</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净申购金额=申购金额-申购费用</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申购份额=净申购金额÷T日基金份额净值</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3）上述计算结果均按四舍五入方法,保留到小数点后2位,由此产生的收益或损失由基金财产承担。</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5）基金管理人应以交易时间结束前受理有效申购申请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A0562C" w:rsidRDefault="00A0562C" w:rsidP="00DF25B3">
      <w:pPr>
        <w:spacing w:line="360" w:lineRule="auto"/>
        <w:ind w:firstLineChars="200" w:firstLine="420"/>
        <w:jc w:val="left"/>
        <w:rPr>
          <w:rFonts w:ascii="宋体" w:hAnsi="宋体" w:hint="eastAsia"/>
          <w:szCs w:val="21"/>
        </w:rPr>
      </w:pPr>
      <w:r>
        <w:rPr>
          <w:rFonts w:ascii="宋体" w:hAnsi="宋体" w:hint="eastAsia"/>
          <w:szCs w:val="21"/>
        </w:rPr>
        <w:t>（6）投资人申购基金份额时，必须在规定的时间内全额交付申购款项，否则所提交的申购申请不成立。</w:t>
      </w:r>
    </w:p>
    <w:p w:rsidR="00A0562C" w:rsidRDefault="00A0562C">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赎回业务</w:t>
      </w:r>
    </w:p>
    <w:p w:rsidR="00A0562C" w:rsidRDefault="00A0562C">
      <w:pPr>
        <w:pStyle w:val="2"/>
        <w:numPr>
          <w:ilvl w:val="1"/>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赎回份额限制</w:t>
      </w:r>
    </w:p>
    <w:p w:rsidR="00A0562C" w:rsidRDefault="00A0562C">
      <w:pPr>
        <w:spacing w:line="360" w:lineRule="auto"/>
        <w:ind w:firstLineChars="200" w:firstLine="420"/>
        <w:jc w:val="left"/>
        <w:rPr>
          <w:rFonts w:ascii="宋体" w:hAnsi="宋体" w:hint="eastAsia"/>
          <w:szCs w:val="21"/>
        </w:rPr>
      </w:pPr>
      <w:bookmarkStart w:id="34" w:name="t_2_4_1_2822_a1_fm1"/>
      <w:bookmarkEnd w:id="34"/>
      <w:r>
        <w:rPr>
          <w:rFonts w:ascii="宋体" w:hAnsi="宋体" w:hint="eastAsia"/>
          <w:szCs w:val="21"/>
        </w:rPr>
        <w:t>投资者赎回本基金份额时,可申请将其持有的部分或全部基金份额赎回。</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本基金的投资者每个交易账户的最低基金份额余额和每笔赎回最低份额均为1份, 若账户余额小于1份，则本基金将自动将剩余份额赎回。销售机构若有不同规定,以销售机构规定为准,但不得低于1份的最低限额规定。</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基金管理人可在法律法规允许的情况下，调整上述规定赎回份额和最低基金份额余额等数量限制。基金管理人必须在调整实施前依照《信息披露办法》的有关规定在指定媒介上公告。</w:t>
      </w:r>
    </w:p>
    <w:p w:rsidR="00A0562C" w:rsidRDefault="00A0562C">
      <w:pPr>
        <w:pStyle w:val="2"/>
        <w:numPr>
          <w:ilvl w:val="1"/>
          <w:numId w:val="1"/>
        </w:numPr>
        <w:spacing w:beforeLines="50" w:afterLines="50" w:line="240" w:lineRule="auto"/>
        <w:jc w:val="left"/>
        <w:rPr>
          <w:rFonts w:ascii="宋体" w:eastAsia="宋体" w:hAnsi="宋体" w:hint="eastAsia"/>
          <w:bCs/>
          <w:sz w:val="24"/>
          <w:szCs w:val="24"/>
        </w:rPr>
      </w:pPr>
      <w:bookmarkStart w:id="35" w:name="t_2_4_2_table"/>
      <w:bookmarkStart w:id="36" w:name="m04_02"/>
      <w:bookmarkEnd w:id="35"/>
      <w:r>
        <w:rPr>
          <w:rFonts w:ascii="宋体" w:eastAsia="宋体" w:hAnsi="宋体" w:hint="eastAsia"/>
          <w:bCs/>
          <w:sz w:val="24"/>
          <w:szCs w:val="24"/>
        </w:rPr>
        <w:t>赎回费率</w:t>
      </w:r>
    </w:p>
    <w:p w:rsidR="00A0562C" w:rsidRDefault="00A0562C">
      <w:pPr>
        <w:spacing w:line="360" w:lineRule="auto"/>
        <w:ind w:firstLineChars="200" w:firstLine="420"/>
        <w:jc w:val="left"/>
        <w:rPr>
          <w:rFonts w:hint="eastAsia"/>
          <w:sz w:val="24"/>
        </w:rPr>
      </w:pPr>
      <w:bookmarkStart w:id="37" w:name="t_2_4_2_2843_a1_fm1"/>
      <w:bookmarkStart w:id="38" w:name="m03_02_02"/>
      <w:bookmarkEnd w:id="37"/>
      <w:r>
        <w:rPr>
          <w:rFonts w:ascii="宋体" w:hAnsi="宋体" w:hint="eastAsia"/>
          <w:szCs w:val="21"/>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7"/>
        <w:gridCol w:w="4809"/>
      </w:tblGrid>
      <w:tr w:rsidR="00A0562C">
        <w:trPr>
          <w:trHeight w:val="437"/>
          <w:jc w:val="center"/>
        </w:trPr>
        <w:tc>
          <w:tcPr>
            <w:tcW w:w="3997" w:type="dxa"/>
            <w:vAlign w:val="center"/>
          </w:tcPr>
          <w:p w:rsidR="00A0562C" w:rsidRDefault="00A0562C">
            <w:pPr>
              <w:jc w:val="center"/>
              <w:rPr>
                <w:rFonts w:ascii="Times New Roman" w:hAnsi="Times New Roman" w:hint="eastAsia"/>
                <w:szCs w:val="21"/>
              </w:rPr>
            </w:pPr>
            <w:bookmarkStart w:id="39" w:name="t_2_4_2_2699_a1_fm1"/>
            <w:bookmarkStart w:id="40" w:name="m04_02_tab"/>
            <w:r>
              <w:rPr>
                <w:rFonts w:ascii="Times New Roman" w:hAnsi="Times New Roman" w:hint="eastAsia"/>
                <w:szCs w:val="21"/>
              </w:rPr>
              <w:t>持有期限（</w:t>
            </w:r>
            <w:r>
              <w:rPr>
                <w:rFonts w:ascii="Times New Roman" w:hAnsi="Times New Roman" w:hint="eastAsia"/>
                <w:szCs w:val="21"/>
              </w:rPr>
              <w:t>N</w:t>
            </w:r>
            <w:r>
              <w:rPr>
                <w:rFonts w:ascii="Times New Roman" w:hAnsi="Times New Roman" w:hint="eastAsia"/>
                <w:szCs w:val="21"/>
              </w:rPr>
              <w:t>）</w:t>
            </w:r>
          </w:p>
        </w:tc>
        <w:tc>
          <w:tcPr>
            <w:tcW w:w="4809" w:type="dxa"/>
            <w:vAlign w:val="center"/>
          </w:tcPr>
          <w:p w:rsidR="00A0562C" w:rsidRDefault="00A0562C">
            <w:pPr>
              <w:jc w:val="center"/>
              <w:rPr>
                <w:rFonts w:ascii="Times New Roman" w:hAnsi="Times New Roman" w:hint="eastAsia"/>
                <w:szCs w:val="21"/>
              </w:rPr>
            </w:pPr>
            <w:r>
              <w:rPr>
                <w:rFonts w:ascii="Times New Roman" w:hAnsi="Times New Roman" w:hint="eastAsia"/>
                <w:szCs w:val="21"/>
              </w:rPr>
              <w:t>赎回费率</w:t>
            </w:r>
          </w:p>
        </w:tc>
      </w:tr>
      <w:tr w:rsidR="00A0562C">
        <w:trPr>
          <w:jc w:val="center"/>
        </w:trPr>
        <w:tc>
          <w:tcPr>
            <w:tcW w:w="3997" w:type="dxa"/>
          </w:tcPr>
          <w:p w:rsidR="00A0562C" w:rsidRDefault="00A0562C">
            <w:pPr>
              <w:jc w:val="center"/>
              <w:rPr>
                <w:rFonts w:ascii="宋体" w:hAnsi="宋体" w:hint="eastAsia"/>
                <w:szCs w:val="21"/>
              </w:rPr>
            </w:pPr>
            <w:r>
              <w:rPr>
                <w:rFonts w:ascii="宋体" w:hAnsi="宋体" w:hint="eastAsia"/>
                <w:szCs w:val="21"/>
              </w:rPr>
              <w:t>N&lt;7天</w:t>
            </w:r>
          </w:p>
        </w:tc>
        <w:tc>
          <w:tcPr>
            <w:tcW w:w="4809" w:type="dxa"/>
          </w:tcPr>
          <w:p w:rsidR="00A0562C" w:rsidRDefault="00A0562C">
            <w:pPr>
              <w:jc w:val="center"/>
              <w:rPr>
                <w:rFonts w:ascii="宋体" w:hAnsi="宋体" w:hint="eastAsia"/>
                <w:szCs w:val="21"/>
              </w:rPr>
            </w:pPr>
            <w:r>
              <w:rPr>
                <w:rFonts w:ascii="宋体" w:hAnsi="宋体" w:hint="eastAsia"/>
                <w:szCs w:val="21"/>
              </w:rPr>
              <w:t>1.50%</w:t>
            </w:r>
          </w:p>
        </w:tc>
      </w:tr>
      <w:tr w:rsidR="00A0562C">
        <w:trPr>
          <w:jc w:val="center"/>
        </w:trPr>
        <w:tc>
          <w:tcPr>
            <w:tcW w:w="3997" w:type="dxa"/>
          </w:tcPr>
          <w:p w:rsidR="00A0562C" w:rsidRDefault="00A0562C">
            <w:pPr>
              <w:jc w:val="center"/>
              <w:rPr>
                <w:rFonts w:ascii="宋体" w:hAnsi="宋体" w:hint="eastAsia"/>
                <w:szCs w:val="21"/>
              </w:rPr>
            </w:pPr>
            <w:r>
              <w:rPr>
                <w:rFonts w:ascii="宋体" w:hAnsi="宋体" w:hint="eastAsia"/>
                <w:szCs w:val="21"/>
              </w:rPr>
              <w:t>7天&lt;=N&lt;92天</w:t>
            </w:r>
          </w:p>
        </w:tc>
        <w:tc>
          <w:tcPr>
            <w:tcW w:w="4809" w:type="dxa"/>
          </w:tcPr>
          <w:p w:rsidR="00A0562C" w:rsidRDefault="00A0562C">
            <w:pPr>
              <w:jc w:val="center"/>
              <w:rPr>
                <w:rFonts w:ascii="宋体" w:hAnsi="宋体" w:hint="eastAsia"/>
                <w:szCs w:val="21"/>
              </w:rPr>
            </w:pPr>
            <w:r>
              <w:rPr>
                <w:rFonts w:ascii="宋体" w:hAnsi="宋体" w:hint="eastAsia"/>
                <w:szCs w:val="21"/>
              </w:rPr>
              <w:t>0.30%</w:t>
            </w:r>
          </w:p>
        </w:tc>
      </w:tr>
      <w:tr w:rsidR="00A0562C">
        <w:trPr>
          <w:jc w:val="center"/>
        </w:trPr>
        <w:tc>
          <w:tcPr>
            <w:tcW w:w="3997" w:type="dxa"/>
          </w:tcPr>
          <w:p w:rsidR="00A0562C" w:rsidRDefault="00A0562C">
            <w:pPr>
              <w:jc w:val="center"/>
              <w:rPr>
                <w:rFonts w:ascii="宋体" w:hAnsi="宋体" w:hint="eastAsia"/>
                <w:szCs w:val="21"/>
              </w:rPr>
            </w:pPr>
            <w:r>
              <w:rPr>
                <w:rFonts w:ascii="宋体" w:hAnsi="宋体" w:hint="eastAsia"/>
                <w:szCs w:val="21"/>
              </w:rPr>
              <w:t>92天&lt;=N</w:t>
            </w:r>
          </w:p>
        </w:tc>
        <w:tc>
          <w:tcPr>
            <w:tcW w:w="4809" w:type="dxa"/>
          </w:tcPr>
          <w:p w:rsidR="00A0562C" w:rsidRDefault="00A0562C">
            <w:pPr>
              <w:jc w:val="center"/>
              <w:rPr>
                <w:rFonts w:ascii="宋体" w:hAnsi="宋体" w:hint="eastAsia"/>
                <w:szCs w:val="21"/>
              </w:rPr>
            </w:pPr>
            <w:r>
              <w:rPr>
                <w:rFonts w:ascii="宋体" w:hAnsi="宋体" w:hint="eastAsia"/>
                <w:szCs w:val="21"/>
              </w:rPr>
              <w:t>0.00%</w:t>
            </w:r>
          </w:p>
        </w:tc>
      </w:tr>
    </w:tbl>
    <w:bookmarkEnd w:id="38"/>
    <w:bookmarkEnd w:id="39"/>
    <w:bookmarkEnd w:id="40"/>
    <w:p w:rsidR="00A0562C" w:rsidRDefault="00A0562C">
      <w:pPr>
        <w:spacing w:line="360" w:lineRule="auto"/>
        <w:jc w:val="left"/>
        <w:rPr>
          <w:rFonts w:ascii="宋体" w:hAnsi="宋体" w:hint="eastAsia"/>
          <w:szCs w:val="21"/>
        </w:rPr>
      </w:pPr>
      <w:r>
        <w:rPr>
          <w:rFonts w:ascii="宋体" w:hAnsi="宋体" w:hint="eastAsia"/>
          <w:szCs w:val="21"/>
        </w:rPr>
        <w:t>注：赎回费用由赎回基金份额的基金份额持有人承担，在基金份额持有人赎回基金份额时收取。赎回费全额计入基金财产。该赎回费率仅供本次开放参考。具体赎回费率请参见《基金合同》及本基金《招募说明书》。</w:t>
      </w:r>
    </w:p>
    <w:p w:rsidR="00A0562C" w:rsidRDefault="00A0562C">
      <w:pPr>
        <w:numPr>
          <w:ilvl w:val="1"/>
          <w:numId w:val="1"/>
        </w:numPr>
        <w:spacing w:beforeLines="50" w:afterLines="50"/>
        <w:rPr>
          <w:rFonts w:ascii="宋体" w:hAnsi="宋体" w:hint="eastAsia"/>
          <w:b/>
          <w:sz w:val="24"/>
          <w:szCs w:val="20"/>
        </w:rPr>
      </w:pPr>
      <w:bookmarkStart w:id="41" w:name="t_2_4_3_table"/>
      <w:bookmarkEnd w:id="36"/>
      <w:bookmarkEnd w:id="41"/>
      <w:r>
        <w:rPr>
          <w:rFonts w:ascii="宋体" w:hAnsi="宋体" w:hint="eastAsia"/>
          <w:b/>
          <w:sz w:val="24"/>
          <w:szCs w:val="20"/>
        </w:rPr>
        <w:t>其他与赎回相关的事项</w:t>
      </w:r>
    </w:p>
    <w:p w:rsidR="00A0562C" w:rsidRDefault="00A0562C">
      <w:pPr>
        <w:spacing w:line="360" w:lineRule="auto"/>
        <w:ind w:firstLineChars="200" w:firstLine="420"/>
        <w:jc w:val="left"/>
        <w:rPr>
          <w:rFonts w:ascii="宋体" w:hAnsi="宋体" w:hint="eastAsia"/>
          <w:szCs w:val="21"/>
        </w:rPr>
      </w:pPr>
      <w:bookmarkStart w:id="42" w:name="t_2_4_3_2823_a1_fm1"/>
      <w:bookmarkEnd w:id="42"/>
      <w:r>
        <w:rPr>
          <w:rFonts w:ascii="宋体" w:hAnsi="宋体" w:hint="eastAsia"/>
          <w:szCs w:val="21"/>
        </w:rPr>
        <w:t>（1）“未知价”原则，即赎回价格以申请当日收市后计算的基金份额净值为基准进行计算。</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（2）“份额赎回”原则，即赎回以份额申请。</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（3）当日的赎回申请可以在基金管理人规定的时间以内撤销，但申请经登记机构受理的不得撤销，基金销售机构另有规定的，以基金销售机构的规定为准。</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4）基金份额持有人赎回时，基金管理人按“先进先出”的原则，对该基金份额持有人账户在该销售机构托管的基金份额进行处理，即登记确认日期在先的基金份额先赎回，登记确认日期在后的基金份额后赎回，以确定被赎回基金份额的持有期限和所适用的赎回费率。</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（5）赎回金额的计算公式</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赎回总额=赎回份数×T 日基金份额净值</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赎回费用=赎回总额×赎回费率</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净赎回金额=赎回总额-赎回费用</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上述计算结果均按四舍五入方法,保留到小数点后2位,由此产生的收益或损失由基金财产承担。</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6）基金管理人应以交易时间结束前受理有效赎回申请的当天作为赎回申请日（T日），在正常情况下，本基金登记机构在T+1日内对该交易的有效性进行确认。T日提交的有效申请，投资人应在T+2日后（包括该日）及时到销售网点柜台或以销售机构规定的其他方式查询申请的确认情况。</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7）基金份额持有人T日的赎回申请成功后，基金管理人将在T＋7日（包括该日）内支付赎回款项。如遇交易所或交易市场数据传输延迟、通讯系统故障、银行数据交换系统故障或其它非基金管理人及基金托管人所能控制的因素影响业务处理流程，则赎回款项的支付时间可相应顺延。在发生巨额赎回或基金合同载明的其他延缓支付赎回款项的情形时，款项的支付办法参照基金合同有关条款处理。</w:t>
      </w:r>
    </w:p>
    <w:p w:rsidR="00A0562C" w:rsidRDefault="00A0562C">
      <w:pPr>
        <w:pStyle w:val="2"/>
        <w:numPr>
          <w:ilvl w:val="0"/>
          <w:numId w:val="1"/>
        </w:numPr>
        <w:spacing w:beforeLines="50" w:afterLines="50" w:line="240" w:lineRule="auto"/>
        <w:rPr>
          <w:rFonts w:ascii="宋体" w:eastAsia="宋体" w:hAnsi="宋体" w:hint="eastAsia"/>
          <w:bCs/>
          <w:sz w:val="24"/>
          <w:szCs w:val="24"/>
        </w:rPr>
      </w:pPr>
      <w:bookmarkStart w:id="43" w:name="t_2_5_table"/>
      <w:bookmarkEnd w:id="43"/>
      <w:r>
        <w:rPr>
          <w:rFonts w:ascii="宋体" w:eastAsia="宋体" w:hAnsi="宋体" w:hint="eastAsia"/>
          <w:bCs/>
          <w:sz w:val="24"/>
          <w:szCs w:val="24"/>
        </w:rPr>
        <w:t>转换业务</w:t>
      </w:r>
    </w:p>
    <w:p w:rsidR="00A0562C" w:rsidRDefault="00A0562C">
      <w:pPr>
        <w:pStyle w:val="2"/>
        <w:numPr>
          <w:ilvl w:val="1"/>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转换费率</w:t>
      </w:r>
    </w:p>
    <w:p w:rsidR="00A0562C" w:rsidRDefault="00A0562C">
      <w:pPr>
        <w:spacing w:line="360" w:lineRule="auto"/>
        <w:ind w:firstLineChars="200" w:firstLine="420"/>
        <w:jc w:val="left"/>
        <w:rPr>
          <w:rFonts w:ascii="宋体" w:hAnsi="宋体" w:hint="eastAsia"/>
          <w:szCs w:val="21"/>
        </w:rPr>
      </w:pPr>
      <w:bookmarkStart w:id="44" w:name="t_2_5_0179_a1_fm1"/>
      <w:bookmarkEnd w:id="44"/>
      <w:r>
        <w:rPr>
          <w:rFonts w:ascii="宋体" w:hAnsi="宋体" w:hint="eastAsia"/>
          <w:szCs w:val="21"/>
        </w:rPr>
        <w:t>-</w:t>
      </w:r>
    </w:p>
    <w:p w:rsidR="00A0562C" w:rsidRDefault="00A0562C">
      <w:pPr>
        <w:numPr>
          <w:ilvl w:val="1"/>
          <w:numId w:val="1"/>
        </w:numPr>
        <w:spacing w:beforeLines="50" w:afterLines="50"/>
        <w:jc w:val="left"/>
        <w:rPr>
          <w:rFonts w:ascii="宋体" w:hAnsi="宋体" w:hint="eastAsia"/>
          <w:b/>
          <w:sz w:val="24"/>
          <w:szCs w:val="20"/>
        </w:rPr>
      </w:pPr>
      <w:r>
        <w:rPr>
          <w:rFonts w:ascii="宋体" w:hAnsi="宋体" w:hint="eastAsia"/>
          <w:b/>
          <w:sz w:val="24"/>
          <w:szCs w:val="20"/>
        </w:rPr>
        <w:t>其他与转换相关的事项</w:t>
      </w:r>
    </w:p>
    <w:p w:rsidR="00A0562C" w:rsidRDefault="00A0562C">
      <w:pPr>
        <w:spacing w:line="360" w:lineRule="auto"/>
        <w:ind w:firstLineChars="200" w:firstLine="420"/>
        <w:jc w:val="left"/>
        <w:rPr>
          <w:rFonts w:ascii="宋体" w:hAnsi="宋体" w:hint="eastAsia"/>
          <w:szCs w:val="21"/>
        </w:rPr>
      </w:pPr>
      <w:bookmarkStart w:id="45" w:name="t_2_5_2824_a1_fm1"/>
      <w:bookmarkEnd w:id="45"/>
      <w:r>
        <w:rPr>
          <w:rFonts w:ascii="宋体" w:hAnsi="宋体" w:hint="eastAsia"/>
          <w:szCs w:val="21"/>
        </w:rPr>
        <w:t>-</w:t>
      </w:r>
    </w:p>
    <w:p w:rsidR="00A0562C" w:rsidRDefault="00A0562C">
      <w:pPr>
        <w:pStyle w:val="2"/>
        <w:numPr>
          <w:ilvl w:val="0"/>
          <w:numId w:val="1"/>
        </w:numPr>
        <w:spacing w:beforeLines="50" w:afterLines="50" w:line="240" w:lineRule="auto"/>
        <w:rPr>
          <w:rFonts w:ascii="宋体" w:eastAsia="宋体" w:hAnsi="宋体" w:hint="eastAsia"/>
          <w:bCs/>
          <w:sz w:val="24"/>
          <w:szCs w:val="24"/>
        </w:rPr>
      </w:pPr>
      <w:bookmarkStart w:id="46" w:name="t_2_6_table"/>
      <w:bookmarkEnd w:id="46"/>
      <w:r>
        <w:rPr>
          <w:rFonts w:ascii="宋体" w:eastAsia="宋体" w:hAnsi="宋体" w:hint="eastAsia"/>
          <w:bCs/>
          <w:sz w:val="24"/>
          <w:szCs w:val="24"/>
        </w:rPr>
        <w:t>定期定额投资业务</w:t>
      </w:r>
    </w:p>
    <w:p w:rsidR="00A0562C" w:rsidRDefault="00A0562C">
      <w:pPr>
        <w:spacing w:line="360" w:lineRule="auto"/>
        <w:ind w:firstLineChars="200" w:firstLine="420"/>
        <w:rPr>
          <w:rFonts w:ascii="宋体" w:hAnsi="宋体" w:hint="eastAsia"/>
          <w:szCs w:val="21"/>
        </w:rPr>
      </w:pPr>
      <w:bookmarkStart w:id="47" w:name="t_2_6_2825_a1_fm1"/>
      <w:bookmarkEnd w:id="47"/>
      <w:r>
        <w:rPr>
          <w:rFonts w:ascii="宋体" w:hAnsi="宋体" w:hint="eastAsia"/>
          <w:szCs w:val="21"/>
        </w:rPr>
        <w:t>-</w:t>
      </w:r>
    </w:p>
    <w:p w:rsidR="00A0562C" w:rsidRDefault="00A0562C">
      <w:pPr>
        <w:pStyle w:val="2"/>
        <w:numPr>
          <w:ilvl w:val="0"/>
          <w:numId w:val="1"/>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基金销售机构</w:t>
      </w:r>
    </w:p>
    <w:p w:rsidR="00A0562C" w:rsidRDefault="00A0562C">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场外销售机构</w:t>
      </w:r>
    </w:p>
    <w:p w:rsidR="00A0562C" w:rsidRDefault="00A0562C">
      <w:pPr>
        <w:numPr>
          <w:ilvl w:val="2"/>
          <w:numId w:val="1"/>
        </w:numPr>
        <w:spacing w:beforeLines="50" w:afterLines="50"/>
        <w:jc w:val="left"/>
        <w:rPr>
          <w:rFonts w:ascii="宋体" w:hAnsi="宋体" w:hint="eastAsia"/>
          <w:b/>
          <w:sz w:val="24"/>
          <w:szCs w:val="20"/>
        </w:rPr>
      </w:pPr>
      <w:r>
        <w:rPr>
          <w:rFonts w:ascii="宋体" w:hAnsi="宋体" w:hint="eastAsia"/>
          <w:b/>
          <w:sz w:val="24"/>
          <w:szCs w:val="20"/>
        </w:rPr>
        <w:t>直销</w:t>
      </w:r>
      <w:r w:rsidR="002E23E5">
        <w:rPr>
          <w:rFonts w:ascii="宋体" w:hAnsi="宋体" w:hint="eastAsia"/>
          <w:b/>
          <w:sz w:val="24"/>
          <w:szCs w:val="20"/>
        </w:rPr>
        <w:t>服务</w:t>
      </w:r>
    </w:p>
    <w:p w:rsidR="00A0562C" w:rsidRDefault="00A0562C">
      <w:pPr>
        <w:spacing w:line="360" w:lineRule="auto"/>
        <w:ind w:firstLineChars="200" w:firstLine="420"/>
        <w:rPr>
          <w:rFonts w:ascii="宋体" w:hAnsi="宋体" w:hint="eastAsia"/>
          <w:szCs w:val="21"/>
        </w:rPr>
      </w:pPr>
      <w:bookmarkStart w:id="48" w:name="t_2_7_2833_a1_fm1"/>
      <w:bookmarkEnd w:id="48"/>
      <w:r>
        <w:rPr>
          <w:rFonts w:ascii="宋体" w:hAnsi="宋体" w:hint="eastAsia"/>
          <w:szCs w:val="21"/>
        </w:rPr>
        <w:t>名称：渤海汇金证券资产管理有限公司</w:t>
      </w:r>
    </w:p>
    <w:p w:rsidR="00A0562C" w:rsidRDefault="00A0562C">
      <w:pPr>
        <w:spacing w:line="360" w:lineRule="auto"/>
        <w:ind w:firstLineChars="200" w:firstLine="420"/>
        <w:rPr>
          <w:rFonts w:ascii="宋体" w:hAnsi="宋体" w:hint="eastAsia"/>
          <w:szCs w:val="21"/>
        </w:rPr>
      </w:pPr>
      <w:r>
        <w:rPr>
          <w:rFonts w:ascii="宋体" w:hAnsi="宋体" w:hint="eastAsia"/>
          <w:szCs w:val="21"/>
        </w:rPr>
        <w:t>住所：深圳市前海深港合作区南山街道桂湾五路128号基金小镇对冲基金中心506</w:t>
      </w:r>
    </w:p>
    <w:p w:rsidR="00A0562C" w:rsidRDefault="00A0562C">
      <w:pPr>
        <w:spacing w:line="360" w:lineRule="auto"/>
        <w:ind w:firstLineChars="200" w:firstLine="420"/>
        <w:rPr>
          <w:rFonts w:ascii="宋体" w:hAnsi="宋体" w:hint="eastAsia"/>
          <w:szCs w:val="21"/>
        </w:rPr>
      </w:pPr>
      <w:r>
        <w:rPr>
          <w:rFonts w:ascii="宋体" w:hAnsi="宋体" w:hint="eastAsia"/>
          <w:szCs w:val="21"/>
        </w:rPr>
        <w:t>直销服务地址：天津市南开区宾水西道8号</w:t>
      </w:r>
    </w:p>
    <w:p w:rsidR="00A0562C" w:rsidRDefault="00A0562C">
      <w:pPr>
        <w:spacing w:line="360" w:lineRule="auto"/>
        <w:ind w:firstLineChars="200" w:firstLine="420"/>
        <w:rPr>
          <w:rFonts w:ascii="宋体" w:hAnsi="宋体" w:hint="eastAsia"/>
          <w:szCs w:val="21"/>
        </w:rPr>
      </w:pPr>
      <w:r>
        <w:rPr>
          <w:rFonts w:ascii="宋体" w:hAnsi="宋体" w:hint="eastAsia"/>
          <w:szCs w:val="21"/>
        </w:rPr>
        <w:t>成立日期：2016年5月18日</w:t>
      </w:r>
    </w:p>
    <w:p w:rsidR="00A0562C" w:rsidRDefault="00A0562C">
      <w:pPr>
        <w:spacing w:line="360" w:lineRule="auto"/>
        <w:ind w:firstLineChars="200" w:firstLine="420"/>
        <w:rPr>
          <w:rFonts w:ascii="宋体" w:hAnsi="宋体" w:hint="eastAsia"/>
          <w:szCs w:val="21"/>
        </w:rPr>
      </w:pPr>
      <w:r>
        <w:rPr>
          <w:rFonts w:ascii="宋体" w:hAnsi="宋体" w:hint="eastAsia"/>
          <w:szCs w:val="21"/>
        </w:rPr>
        <w:t>法定代表人：齐朝晖</w:t>
      </w:r>
    </w:p>
    <w:p w:rsidR="00A0562C" w:rsidRDefault="00A0562C">
      <w:pPr>
        <w:spacing w:line="360" w:lineRule="auto"/>
        <w:ind w:firstLineChars="200" w:firstLine="420"/>
        <w:rPr>
          <w:rFonts w:ascii="宋体" w:hAnsi="宋体" w:hint="eastAsia"/>
          <w:szCs w:val="21"/>
        </w:rPr>
      </w:pPr>
      <w:r>
        <w:rPr>
          <w:rFonts w:ascii="宋体" w:hAnsi="宋体" w:hint="eastAsia"/>
          <w:szCs w:val="21"/>
        </w:rPr>
        <w:t>传真：022-23861510</w:t>
      </w:r>
    </w:p>
    <w:p w:rsidR="00A0562C" w:rsidRDefault="00A0562C">
      <w:pPr>
        <w:spacing w:line="360" w:lineRule="auto"/>
        <w:ind w:firstLineChars="200" w:firstLine="420"/>
        <w:rPr>
          <w:rFonts w:ascii="宋体" w:hAnsi="宋体" w:hint="eastAsia"/>
          <w:szCs w:val="21"/>
        </w:rPr>
      </w:pPr>
      <w:r>
        <w:rPr>
          <w:rFonts w:ascii="宋体" w:hAnsi="宋体" w:hint="eastAsia"/>
          <w:szCs w:val="21"/>
        </w:rPr>
        <w:t>联系人：谭如雁</w:t>
      </w:r>
    </w:p>
    <w:p w:rsidR="00A0562C" w:rsidRDefault="00A0562C">
      <w:pPr>
        <w:spacing w:line="360" w:lineRule="auto"/>
        <w:ind w:firstLineChars="200" w:firstLine="420"/>
        <w:rPr>
          <w:rFonts w:ascii="宋体" w:hAnsi="宋体" w:hint="eastAsia"/>
          <w:szCs w:val="21"/>
        </w:rPr>
      </w:pPr>
      <w:r>
        <w:rPr>
          <w:rFonts w:ascii="宋体" w:hAnsi="宋体" w:hint="eastAsia"/>
          <w:szCs w:val="21"/>
        </w:rPr>
        <w:t>联系电话：022-23861525</w:t>
      </w:r>
    </w:p>
    <w:p w:rsidR="00A0562C" w:rsidRDefault="00A0562C">
      <w:pPr>
        <w:spacing w:line="360" w:lineRule="auto"/>
        <w:ind w:firstLineChars="200" w:firstLine="420"/>
        <w:rPr>
          <w:rFonts w:ascii="宋体" w:hAnsi="宋体" w:hint="eastAsia"/>
          <w:szCs w:val="21"/>
        </w:rPr>
      </w:pPr>
      <w:r>
        <w:rPr>
          <w:rFonts w:ascii="宋体" w:hAnsi="宋体" w:hint="eastAsia"/>
          <w:szCs w:val="21"/>
        </w:rPr>
        <w:t>客服电话：400-651-1717</w:t>
      </w:r>
    </w:p>
    <w:p w:rsidR="00A0562C" w:rsidRDefault="00A0562C">
      <w:pPr>
        <w:spacing w:line="360" w:lineRule="auto"/>
        <w:ind w:firstLineChars="200" w:firstLine="420"/>
        <w:rPr>
          <w:rFonts w:ascii="宋体" w:hAnsi="宋体" w:hint="eastAsia"/>
          <w:szCs w:val="21"/>
        </w:rPr>
      </w:pPr>
      <w:r>
        <w:rPr>
          <w:rFonts w:ascii="宋体" w:hAnsi="宋体" w:hint="eastAsia"/>
          <w:szCs w:val="21"/>
        </w:rPr>
        <w:t>网址：https://www.bhhjamc.com</w:t>
      </w:r>
    </w:p>
    <w:p w:rsidR="00A0562C" w:rsidRDefault="00A0562C">
      <w:pPr>
        <w:spacing w:beforeLines="50" w:afterLines="50"/>
        <w:jc w:val="left"/>
        <w:rPr>
          <w:rFonts w:ascii="宋体" w:hAnsi="宋体" w:hint="eastAsia"/>
          <w:b/>
          <w:sz w:val="24"/>
          <w:szCs w:val="20"/>
        </w:rPr>
      </w:pPr>
      <w:r>
        <w:rPr>
          <w:rFonts w:ascii="宋体" w:hAnsi="宋体" w:hint="eastAsia"/>
          <w:b/>
          <w:sz w:val="24"/>
          <w:szCs w:val="20"/>
        </w:rPr>
        <w:t>7.1.2 场外代销机构</w:t>
      </w:r>
    </w:p>
    <w:p w:rsidR="00A0562C" w:rsidRDefault="00A0562C">
      <w:pPr>
        <w:spacing w:line="360" w:lineRule="auto"/>
        <w:ind w:firstLineChars="200" w:firstLine="420"/>
        <w:jc w:val="left"/>
        <w:rPr>
          <w:rFonts w:ascii="宋体" w:hAnsi="宋体" w:hint="eastAsia"/>
          <w:szCs w:val="21"/>
        </w:rPr>
      </w:pPr>
      <w:bookmarkStart w:id="49" w:name="t_2_7_2834_a1_fm1"/>
      <w:bookmarkEnd w:id="49"/>
      <w:r>
        <w:rPr>
          <w:rFonts w:ascii="宋体" w:hAnsi="宋体" w:hint="eastAsia"/>
          <w:szCs w:val="21"/>
        </w:rPr>
        <w:t>本基金的其他销售机构详见基金管理人网站公示，敬请投资者留意。基金管理人可综合各种情况增加或减少销售机构，并进行公告或在基金管理人网站进行公示。各销售机构提供的基金销售服务可能有所差异，具体请以各销售机构的规定为准。</w:t>
      </w:r>
    </w:p>
    <w:p w:rsidR="00A0562C" w:rsidRDefault="00A0562C">
      <w:pPr>
        <w:numPr>
          <w:ilvl w:val="1"/>
          <w:numId w:val="1"/>
        </w:numPr>
        <w:spacing w:beforeLines="50" w:afterLines="50"/>
        <w:jc w:val="left"/>
        <w:rPr>
          <w:rFonts w:ascii="宋体" w:hAnsi="宋体" w:hint="eastAsia"/>
          <w:b/>
          <w:sz w:val="24"/>
          <w:szCs w:val="20"/>
        </w:rPr>
      </w:pPr>
      <w:r>
        <w:rPr>
          <w:rFonts w:ascii="宋体" w:hAnsi="宋体" w:hint="eastAsia"/>
          <w:b/>
          <w:sz w:val="24"/>
          <w:szCs w:val="20"/>
        </w:rPr>
        <w:t>场内销售机构</w:t>
      </w:r>
    </w:p>
    <w:p w:rsidR="00A0562C" w:rsidRDefault="00A0562C">
      <w:pPr>
        <w:spacing w:line="360" w:lineRule="auto"/>
        <w:ind w:firstLineChars="200" w:firstLine="420"/>
        <w:jc w:val="left"/>
        <w:rPr>
          <w:rFonts w:ascii="宋体" w:hAnsi="宋体" w:hint="eastAsia"/>
          <w:szCs w:val="21"/>
        </w:rPr>
      </w:pPr>
      <w:bookmarkStart w:id="50" w:name="t_2_7_2835_a1_fm1"/>
      <w:bookmarkEnd w:id="50"/>
      <w:r>
        <w:rPr>
          <w:rFonts w:ascii="宋体" w:hAnsi="宋体" w:hint="eastAsia"/>
          <w:szCs w:val="21"/>
        </w:rPr>
        <w:t>-</w:t>
      </w:r>
    </w:p>
    <w:p w:rsidR="00A0562C" w:rsidRDefault="00A0562C">
      <w:pPr>
        <w:pStyle w:val="2"/>
        <w:numPr>
          <w:ilvl w:val="0"/>
          <w:numId w:val="1"/>
        </w:numPr>
        <w:spacing w:beforeLines="50" w:afterLines="50" w:line="240" w:lineRule="auto"/>
        <w:rPr>
          <w:rFonts w:ascii="宋体" w:eastAsia="宋体" w:hAnsi="宋体" w:hint="eastAsia"/>
          <w:bCs/>
          <w:sz w:val="24"/>
          <w:szCs w:val="24"/>
        </w:rPr>
      </w:pPr>
      <w:bookmarkStart w:id="51" w:name="t_2_8_table"/>
      <w:bookmarkEnd w:id="51"/>
      <w:r>
        <w:rPr>
          <w:rFonts w:ascii="宋体" w:eastAsia="宋体" w:hAnsi="宋体" w:hint="eastAsia"/>
          <w:bCs/>
          <w:sz w:val="24"/>
          <w:szCs w:val="24"/>
        </w:rPr>
        <w:t>基金份额净值公告/基金收益公告的披露安排</w:t>
      </w:r>
    </w:p>
    <w:p w:rsidR="00A0562C" w:rsidRDefault="00A0562C">
      <w:pPr>
        <w:spacing w:line="360" w:lineRule="auto"/>
        <w:ind w:firstLineChars="200" w:firstLine="420"/>
        <w:jc w:val="left"/>
        <w:rPr>
          <w:rFonts w:ascii="宋体" w:hAnsi="宋体" w:hint="eastAsia"/>
          <w:szCs w:val="21"/>
        </w:rPr>
      </w:pPr>
      <w:bookmarkStart w:id="52" w:name="t_2_8_2756_a1_fm1"/>
      <w:bookmarkEnd w:id="52"/>
      <w:r>
        <w:rPr>
          <w:rFonts w:ascii="宋体" w:hAnsi="宋体" w:hint="eastAsia"/>
          <w:szCs w:val="21"/>
        </w:rPr>
        <w:t>（1）《基金合同》生效后，在基金封闭期内，基金管理人应当至少每周在规定网站披露一次基金份额净值和基金份额累计净值。</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（2）在《基金合同》生效后的每个开放期内，基金管理人应当在每个开放日的次日，通过网站、基金份额发售网点以及其他媒介，披露开放日的基金份额净值和基金份额累计净值。</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3）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A0562C" w:rsidRDefault="00A0562C">
      <w:pPr>
        <w:spacing w:line="360" w:lineRule="auto"/>
        <w:ind w:firstLineChars="200" w:firstLine="420"/>
        <w:jc w:val="left"/>
        <w:rPr>
          <w:rFonts w:ascii="宋体" w:hAnsi="宋体" w:hint="eastAsia"/>
          <w:szCs w:val="21"/>
        </w:rPr>
      </w:pPr>
    </w:p>
    <w:p w:rsidR="00A0562C" w:rsidRDefault="00A0562C">
      <w:pPr>
        <w:pStyle w:val="2"/>
        <w:numPr>
          <w:ilvl w:val="0"/>
          <w:numId w:val="1"/>
        </w:numPr>
        <w:spacing w:beforeLines="50" w:afterLines="50" w:line="240" w:lineRule="auto"/>
        <w:rPr>
          <w:rFonts w:ascii="宋体" w:eastAsia="宋体" w:hAnsi="宋体" w:hint="eastAsia"/>
          <w:bCs/>
          <w:sz w:val="24"/>
          <w:szCs w:val="24"/>
        </w:rPr>
      </w:pPr>
      <w:bookmarkStart w:id="53" w:name="t_2_9_table"/>
      <w:bookmarkEnd w:id="53"/>
      <w:r>
        <w:rPr>
          <w:rFonts w:ascii="宋体" w:eastAsia="宋体" w:hAnsi="宋体" w:hint="eastAsia"/>
          <w:bCs/>
          <w:sz w:val="24"/>
          <w:szCs w:val="24"/>
        </w:rPr>
        <w:t>其他需要提示的事项</w:t>
      </w:r>
    </w:p>
    <w:p w:rsidR="00A0562C" w:rsidRDefault="00A0562C">
      <w:pPr>
        <w:spacing w:line="360" w:lineRule="auto"/>
        <w:ind w:firstLineChars="200" w:firstLine="420"/>
        <w:jc w:val="left"/>
        <w:rPr>
          <w:rFonts w:ascii="宋体" w:hAnsi="宋体" w:hint="eastAsia"/>
          <w:szCs w:val="21"/>
        </w:rPr>
      </w:pPr>
      <w:bookmarkStart w:id="54" w:name="t_2_9_2646_a1_fm1"/>
      <w:bookmarkEnd w:id="54"/>
      <w:r>
        <w:rPr>
          <w:rFonts w:ascii="宋体" w:hAnsi="宋体" w:hint="eastAsia"/>
          <w:szCs w:val="21"/>
        </w:rPr>
        <w:t>（1）本公告仅对本基金开放申购、赎回业务的有关事项予以说明。投资者欲了解本基金的详细情况，请登录本基金管理人网站（https://www.bhhjamc.com）仔细阅读本基金的基金合同及招募说明书。</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2）销售机构对申购和赎回申请的受理并不代表申请一定成功，而仅代表销售机构确实接收到申请。申购和赎回的确认以登记机构的确认结果为准。对于申购、赎回申请的确认情况，投资人应及时查询并妥善行使合法权利，否则，由此产生的投资人任何损失由投资人自行承担。</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3）本基金不对单个投资者累计持有的基金份额上限或本基金总规模进行限制。本基金允许单一投资者或者构成一致行动人的多个投资者持有基金份额的比例达到或者超过基金总份额的50%。本基金不向个人投资者公开销售。</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（4）投资人可以拨打本基金管理人客户服务电话（4006511717）垂询相关事宜。</w:t>
      </w:r>
    </w:p>
    <w:p w:rsidR="00A0562C" w:rsidRDefault="00A0562C">
      <w:pPr>
        <w:spacing w:line="360" w:lineRule="auto"/>
        <w:ind w:firstLineChars="200" w:firstLine="420"/>
        <w:jc w:val="left"/>
        <w:rPr>
          <w:rFonts w:ascii="宋体" w:hAnsi="宋体" w:hint="eastAsia"/>
          <w:szCs w:val="21"/>
        </w:rPr>
      </w:pPr>
      <w:r>
        <w:rPr>
          <w:rFonts w:ascii="宋体" w:hAnsi="宋体" w:hint="eastAsia"/>
          <w:szCs w:val="21"/>
        </w:rPr>
        <w:t>（5）风险提示：本基金管理人承诺依照恪尽职守、诚实信用、谨慎勤勉的原则管理和运用基金财产，但不保证投资本基金一定盈利，也不保证最低收益。基金的过往业绩并不预示其未来表现，基金管理人管理的其他基金的业绩并不构成对本基金业绩表现的保证。基金管理人提醒投资者基金投资的“买者自负”原则，在投资者作出投资决策后，基金运营状况与基金净值变化引致的投资风险，由投资者自行负责。此外，本基金以1.00元初始面值进行募集，在市场波动等因素的影响下，存在单位份额净值跌破1.00元初始面值的风险。</w:t>
      </w:r>
    </w:p>
    <w:p w:rsidR="00A0562C" w:rsidRDefault="00A0562C">
      <w:pPr>
        <w:spacing w:line="360" w:lineRule="auto"/>
        <w:ind w:firstLineChars="200" w:firstLine="420"/>
        <w:jc w:val="left"/>
        <w:rPr>
          <w:rFonts w:ascii="宋体" w:hAnsi="宋体"/>
          <w:szCs w:val="21"/>
        </w:rPr>
      </w:pPr>
    </w:p>
    <w:p w:rsidR="00A0562C" w:rsidRDefault="00A0562C">
      <w:pPr>
        <w:spacing w:line="360" w:lineRule="auto"/>
        <w:ind w:firstLineChars="200" w:firstLine="420"/>
        <w:jc w:val="left"/>
        <w:rPr>
          <w:rFonts w:ascii="宋体" w:hAnsi="宋体"/>
          <w:szCs w:val="21"/>
        </w:rPr>
      </w:pPr>
    </w:p>
    <w:p w:rsidR="00A0562C" w:rsidRDefault="00A0562C">
      <w:pPr>
        <w:spacing w:line="360" w:lineRule="auto"/>
        <w:jc w:val="right"/>
        <w:rPr>
          <w:rFonts w:ascii="宋体" w:hAnsi="宋体" w:hint="eastAsia"/>
          <w:sz w:val="24"/>
          <w:szCs w:val="30"/>
        </w:rPr>
      </w:pPr>
      <w:r>
        <w:rPr>
          <w:rFonts w:ascii="宋体" w:hAnsi="宋体" w:hint="eastAsia"/>
          <w:sz w:val="24"/>
          <w:szCs w:val="30"/>
        </w:rPr>
        <w:t>渤海汇金证券资产管理有限公司</w:t>
      </w:r>
    </w:p>
    <w:p w:rsidR="00A0562C" w:rsidRDefault="00A0562C">
      <w:pPr>
        <w:spacing w:line="360" w:lineRule="auto"/>
        <w:jc w:val="right"/>
        <w:rPr>
          <w:rFonts w:ascii="宋体" w:hAnsi="宋体" w:hint="eastAsia"/>
          <w:sz w:val="24"/>
          <w:szCs w:val="30"/>
        </w:rPr>
      </w:pPr>
      <w:r>
        <w:rPr>
          <w:rFonts w:ascii="宋体" w:hAnsi="宋体" w:hint="eastAsia"/>
          <w:sz w:val="24"/>
          <w:szCs w:val="30"/>
        </w:rPr>
        <w:t>2024年3月28日</w:t>
      </w:r>
    </w:p>
    <w:sectPr w:rsidR="00A0562C">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93" w:rsidRDefault="008F2F93">
      <w:r>
        <w:separator/>
      </w:r>
    </w:p>
  </w:endnote>
  <w:endnote w:type="continuationSeparator" w:id="0">
    <w:p w:rsidR="008F2F93" w:rsidRDefault="008F2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2C" w:rsidRDefault="00A0562C">
    <w:pPr>
      <w:pStyle w:val="a4"/>
      <w:jc w:val="center"/>
      <w:rPr>
        <w:rFonts w:hint="eastAsia"/>
      </w:rPr>
    </w:pPr>
    <w:r>
      <w:rPr>
        <w:rFonts w:hint="eastAsia"/>
      </w:rPr>
      <w:t>第</w:t>
    </w:r>
    <w:r>
      <w:rPr>
        <w:rFonts w:hint="eastAsia"/>
      </w:rPr>
      <w:t xml:space="preserve"> </w:t>
    </w:r>
    <w:fldSimple w:instr=" PAGE   \* MERGEFORMAT ">
      <w:r w:rsidR="002E7F89">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2E7F89">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93" w:rsidRDefault="008F2F93">
      <w:r>
        <w:separator/>
      </w:r>
    </w:p>
  </w:footnote>
  <w:footnote w:type="continuationSeparator" w:id="0">
    <w:p w:rsidR="008F2F93" w:rsidRDefault="008F2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2C" w:rsidRDefault="00A0562C">
    <w:pPr>
      <w:pStyle w:val="a6"/>
      <w:jc w:val="right"/>
      <w:rPr>
        <w:rFonts w:hint="eastAsia"/>
      </w:rPr>
    </w:pPr>
    <w:r>
      <w:rPr>
        <w:rFonts w:hint="eastAsia"/>
      </w:rPr>
      <w:t>渤海汇金汇增利</w:t>
    </w:r>
    <w:r>
      <w:rPr>
        <w:rFonts w:hint="eastAsia"/>
      </w:rPr>
      <w:t>3</w:t>
    </w:r>
    <w:r>
      <w:rPr>
        <w:rFonts w:hint="eastAsia"/>
      </w:rPr>
      <w:t>个月定期开放债券型发起式证券投资基金第二十二个开放期开放申购、赎回业务的公告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1FFF"/>
    <w:multiLevelType w:val="multilevel"/>
    <w:tmpl w:val="355B1FFF"/>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ODA5ZjkyYWNkMzIwYTJjMTVkZWI2ZWJkYTQ1NmY5MWMifQ=="/>
  </w:docVars>
  <w:rsids>
    <w:rsidRoot w:val="00172A27"/>
    <w:rsid w:val="00024E6A"/>
    <w:rsid w:val="00054B55"/>
    <w:rsid w:val="00102C6F"/>
    <w:rsid w:val="001906ED"/>
    <w:rsid w:val="001F180D"/>
    <w:rsid w:val="00234231"/>
    <w:rsid w:val="00243D8F"/>
    <w:rsid w:val="002E23E5"/>
    <w:rsid w:val="002E7F89"/>
    <w:rsid w:val="005719A6"/>
    <w:rsid w:val="006B0376"/>
    <w:rsid w:val="006C7484"/>
    <w:rsid w:val="00716A1B"/>
    <w:rsid w:val="008F2F93"/>
    <w:rsid w:val="009D0AFF"/>
    <w:rsid w:val="00A0562C"/>
    <w:rsid w:val="00AD0752"/>
    <w:rsid w:val="00BB15D8"/>
    <w:rsid w:val="00CE3689"/>
    <w:rsid w:val="00DF25B3"/>
    <w:rsid w:val="00E6186D"/>
    <w:rsid w:val="00E93025"/>
    <w:rsid w:val="28975B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Arial" w:eastAsia="黑体" w:hAnsi="Arial"/>
      <w:b/>
      <w:kern w:val="2"/>
      <w:sz w:val="32"/>
    </w:rPr>
  </w:style>
  <w:style w:type="paragraph" w:styleId="a3">
    <w:name w:val="Document Map"/>
    <w:basedOn w:val="a"/>
    <w:pPr>
      <w:shd w:val="clear" w:color="auto" w:fill="000080"/>
    </w:pPr>
  </w:style>
  <w:style w:type="paragraph" w:styleId="a4">
    <w:name w:val="footer"/>
    <w:basedOn w:val="a"/>
    <w:link w:val="a5"/>
    <w:pPr>
      <w:tabs>
        <w:tab w:val="center" w:pos="4153"/>
        <w:tab w:val="right" w:pos="8306"/>
      </w:tabs>
      <w:snapToGrid w:val="0"/>
      <w:jc w:val="left"/>
    </w:pPr>
    <w:rPr>
      <w:sz w:val="18"/>
      <w:szCs w:val="18"/>
    </w:rPr>
  </w:style>
  <w:style w:type="character" w:customStyle="1" w:styleId="a5">
    <w:name w:val="页脚 字符"/>
    <w:link w:val="a4"/>
    <w:rPr>
      <w:kern w:val="2"/>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Pr>
      <w:kern w:val="2"/>
      <w:sz w:val="18"/>
      <w:szCs w:val="18"/>
    </w:rPr>
  </w:style>
  <w:style w:type="paragraph" w:styleId="a8">
    <w:name w:val="footnote text"/>
    <w:basedOn w:val="a"/>
    <w:link w:val="a9"/>
    <w:pPr>
      <w:snapToGrid w:val="0"/>
      <w:jc w:val="left"/>
    </w:pPr>
    <w:rPr>
      <w:rFonts w:ascii="Times New Roman" w:hAnsi="Times New Roman"/>
      <w:sz w:val="18"/>
      <w:szCs w:val="20"/>
    </w:rPr>
  </w:style>
  <w:style w:type="character" w:customStyle="1" w:styleId="a9">
    <w:name w:val="脚注文本 字符"/>
    <w:link w:val="a8"/>
    <w:rPr>
      <w:rFonts w:ascii="Times New Roman" w:hAnsi="Times New Roman"/>
      <w:kern w:val="2"/>
      <w:sz w:val="18"/>
    </w:rPr>
  </w:style>
  <w:style w:type="character" w:styleId="aa">
    <w:name w:val="footnote reference"/>
    <w:rPr>
      <w:vertAlign w:val="superscript"/>
    </w:rPr>
  </w:style>
  <w:style w:type="paragraph" w:customStyle="1" w:styleId="Char">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3970</Characters>
  <Application>Microsoft Office Word</Application>
  <DocSecurity>4</DocSecurity>
  <PresentationFormat/>
  <Lines>33</Lines>
  <Paragraphs>9</Paragraphs>
  <Slides>0</Slides>
  <Notes>0</Notes>
  <HiddenSlides>0</HiddenSlides>
  <MMClips>0</MMClips>
  <ScaleCrop>false</ScaleCrop>
  <Manager/>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c:creator>
  <cp:keywords/>
  <dc:description/>
  <cp:lastModifiedBy>ZHONGM</cp:lastModifiedBy>
  <cp:revision>2</cp:revision>
  <dcterms:created xsi:type="dcterms:W3CDTF">2024-03-27T16:01:00Z</dcterms:created>
  <dcterms:modified xsi:type="dcterms:W3CDTF">2024-03-27T16:01:00Z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3B1630EA8D4640109316D951FD9EFAE5_13</vt:lpwstr>
  </property>
</Properties>
</file>