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AA" w:rsidRPr="007B09E5" w:rsidRDefault="001E1A98" w:rsidP="005B1E75">
      <w:pPr>
        <w:jc w:val="center"/>
        <w:rPr>
          <w:rFonts w:ascii="Times New Roman" w:eastAsia="宋体" w:hAnsi="Times New Roman"/>
          <w:b/>
          <w:sz w:val="36"/>
          <w:szCs w:val="24"/>
        </w:rPr>
      </w:pPr>
      <w:r w:rsidRPr="007B09E5">
        <w:rPr>
          <w:rFonts w:ascii="Times New Roman" w:eastAsia="宋体" w:hAnsi="Times New Roman" w:hint="eastAsia"/>
          <w:b/>
          <w:sz w:val="36"/>
          <w:szCs w:val="24"/>
        </w:rPr>
        <w:t>摩根</w:t>
      </w:r>
      <w:r w:rsidR="007D7919" w:rsidRPr="007B09E5">
        <w:rPr>
          <w:rFonts w:ascii="Times New Roman" w:eastAsia="宋体" w:hAnsi="Times New Roman" w:hint="eastAsia"/>
          <w:b/>
          <w:sz w:val="36"/>
          <w:szCs w:val="24"/>
        </w:rPr>
        <w:t>基金管理</w:t>
      </w:r>
      <w:r w:rsidR="005B1E75">
        <w:rPr>
          <w:rFonts w:ascii="Times New Roman" w:eastAsia="宋体" w:hAnsi="Times New Roman" w:hint="eastAsia"/>
          <w:b/>
          <w:sz w:val="36"/>
          <w:szCs w:val="24"/>
        </w:rPr>
        <w:t>（中国）</w:t>
      </w:r>
      <w:r w:rsidR="007D7919" w:rsidRPr="007B09E5">
        <w:rPr>
          <w:rFonts w:ascii="Times New Roman" w:eastAsia="宋体" w:hAnsi="Times New Roman" w:hint="eastAsia"/>
          <w:b/>
          <w:sz w:val="36"/>
          <w:szCs w:val="24"/>
        </w:rPr>
        <w:t>有限公司关于旗下部分基金</w:t>
      </w:r>
      <w:r w:rsidR="005B1E75">
        <w:rPr>
          <w:rFonts w:ascii="Times New Roman" w:eastAsia="宋体" w:hAnsi="Times New Roman" w:hint="eastAsia"/>
          <w:b/>
          <w:sz w:val="36"/>
          <w:szCs w:val="24"/>
        </w:rPr>
        <w:t>参与北交所上市股票投资及相关风险提示</w:t>
      </w:r>
      <w:r w:rsidR="007D7919" w:rsidRPr="007B09E5">
        <w:rPr>
          <w:rFonts w:ascii="Times New Roman" w:eastAsia="宋体" w:hAnsi="Times New Roman" w:hint="eastAsia"/>
          <w:b/>
          <w:sz w:val="36"/>
          <w:szCs w:val="24"/>
        </w:rPr>
        <w:t>的公告</w:t>
      </w:r>
    </w:p>
    <w:p w:rsidR="00D61645" w:rsidRPr="007B09E5" w:rsidRDefault="00D61645" w:rsidP="00D61645">
      <w:pPr>
        <w:rPr>
          <w:rFonts w:ascii="Times New Roman" w:eastAsia="宋体" w:hAnsi="Times New Roman"/>
          <w:b/>
          <w:sz w:val="24"/>
          <w:szCs w:val="24"/>
        </w:rPr>
      </w:pPr>
    </w:p>
    <w:p w:rsidR="00D61645" w:rsidRPr="007B09E5" w:rsidRDefault="00D61645" w:rsidP="00D61645">
      <w:pPr>
        <w:pStyle w:val="Default"/>
        <w:spacing w:line="360" w:lineRule="auto"/>
        <w:ind w:firstLineChars="200" w:firstLine="480"/>
        <w:rPr>
          <w:rFonts w:ascii="Times New Roman" w:eastAsia="宋体" w:hAnsi="Times New Roman"/>
        </w:rPr>
      </w:pPr>
      <w:r w:rsidRPr="007B09E5">
        <w:rPr>
          <w:rFonts w:ascii="Times New Roman" w:eastAsia="宋体" w:hAnsi="Times New Roman"/>
        </w:rPr>
        <w:t>根据有关法律法规规定和基金合同的约定，</w:t>
      </w:r>
      <w:r w:rsidR="001E1A98" w:rsidRPr="007B09E5">
        <w:rPr>
          <w:rFonts w:ascii="Times New Roman" w:eastAsia="宋体" w:hAnsi="Times New Roman" w:hint="eastAsia"/>
        </w:rPr>
        <w:t>摩根</w:t>
      </w:r>
      <w:r w:rsidRPr="007B09E5">
        <w:rPr>
          <w:rFonts w:ascii="Times New Roman" w:eastAsia="宋体" w:hAnsi="Times New Roman"/>
        </w:rPr>
        <w:t>基金管理</w:t>
      </w:r>
      <w:r w:rsidR="005B1E75">
        <w:rPr>
          <w:rFonts w:ascii="Times New Roman" w:eastAsia="宋体" w:hAnsi="Times New Roman" w:hint="eastAsia"/>
        </w:rPr>
        <w:t>（中国）</w:t>
      </w:r>
      <w:r w:rsidRPr="007B09E5">
        <w:rPr>
          <w:rFonts w:ascii="Times New Roman" w:eastAsia="宋体" w:hAnsi="Times New Roman"/>
        </w:rPr>
        <w:t>有限公司（以下简称</w:t>
      </w:r>
      <w:r w:rsidRPr="007B09E5">
        <w:rPr>
          <w:rFonts w:ascii="Times New Roman" w:eastAsia="宋体" w:hAnsi="Times New Roman"/>
        </w:rPr>
        <w:t>“</w:t>
      </w:r>
      <w:r w:rsidRPr="007B09E5">
        <w:rPr>
          <w:rFonts w:ascii="Times New Roman" w:eastAsia="宋体" w:hAnsi="Times New Roman" w:hint="eastAsia"/>
        </w:rPr>
        <w:t>本公司</w:t>
      </w:r>
      <w:r w:rsidRPr="007B09E5">
        <w:rPr>
          <w:rFonts w:ascii="Times New Roman" w:eastAsia="宋体" w:hAnsi="Times New Roman"/>
        </w:rPr>
        <w:t>”</w:t>
      </w:r>
      <w:r w:rsidRPr="007B09E5">
        <w:rPr>
          <w:rFonts w:ascii="Times New Roman" w:eastAsia="宋体" w:hAnsi="Times New Roman"/>
        </w:rPr>
        <w:t>）</w:t>
      </w:r>
      <w:r w:rsidR="00855431">
        <w:rPr>
          <w:rFonts w:ascii="Times New Roman" w:eastAsia="宋体" w:hAnsi="Times New Roman" w:hint="eastAsia"/>
        </w:rPr>
        <w:t>就</w:t>
      </w:r>
      <w:r w:rsidRPr="007B09E5">
        <w:rPr>
          <w:rFonts w:ascii="Times New Roman" w:eastAsia="宋体" w:hAnsi="Times New Roman"/>
        </w:rPr>
        <w:t>旗下部分基金</w:t>
      </w:r>
      <w:r w:rsidR="00855431">
        <w:rPr>
          <w:rFonts w:ascii="Times New Roman" w:eastAsia="宋体" w:hAnsi="Times New Roman" w:hint="eastAsia"/>
        </w:rPr>
        <w:t>（</w:t>
      </w:r>
      <w:r w:rsidR="00855431" w:rsidRPr="007B09E5">
        <w:rPr>
          <w:rFonts w:ascii="Times New Roman" w:eastAsia="宋体" w:hAnsi="Times New Roman" w:hint="eastAsia"/>
        </w:rPr>
        <w:t>详见</w:t>
      </w:r>
      <w:r w:rsidR="00855431">
        <w:rPr>
          <w:rFonts w:ascii="Times New Roman" w:eastAsia="宋体" w:hAnsi="Times New Roman" w:hint="eastAsia"/>
        </w:rPr>
        <w:t>附件一）</w:t>
      </w:r>
      <w:r w:rsidR="005B1E75">
        <w:rPr>
          <w:rFonts w:ascii="Times New Roman" w:eastAsia="宋体" w:hAnsi="Times New Roman" w:hint="eastAsia"/>
        </w:rPr>
        <w:t>参与北京证券交易所（以下简称“北交所”）上市股票投资</w:t>
      </w:r>
      <w:r w:rsidR="00855431">
        <w:rPr>
          <w:rFonts w:ascii="Times New Roman" w:eastAsia="宋体" w:hAnsi="Times New Roman" w:hint="eastAsia"/>
        </w:rPr>
        <w:t>的</w:t>
      </w:r>
      <w:r w:rsidR="00855431" w:rsidRPr="007B09E5">
        <w:rPr>
          <w:rFonts w:ascii="Times New Roman" w:eastAsia="宋体" w:hAnsi="Times New Roman"/>
        </w:rPr>
        <w:t>有关</w:t>
      </w:r>
      <w:r w:rsidR="00855431" w:rsidRPr="007B09E5">
        <w:rPr>
          <w:rFonts w:ascii="Times New Roman" w:eastAsia="宋体" w:hAnsi="Times New Roman" w:hint="eastAsia"/>
        </w:rPr>
        <w:t>情况</w:t>
      </w:r>
      <w:r w:rsidR="00855431" w:rsidRPr="007B09E5">
        <w:rPr>
          <w:rFonts w:ascii="Times New Roman" w:eastAsia="宋体" w:hAnsi="Times New Roman"/>
        </w:rPr>
        <w:t>说明如下</w:t>
      </w:r>
      <w:r w:rsidR="00855431">
        <w:rPr>
          <w:rFonts w:ascii="Times New Roman" w:eastAsia="宋体" w:hAnsi="Times New Roman" w:hint="eastAsia"/>
        </w:rPr>
        <w:t>：</w:t>
      </w:r>
      <w:r w:rsidRPr="007B09E5">
        <w:rPr>
          <w:rFonts w:ascii="Times New Roman" w:eastAsia="宋体" w:hAnsi="Times New Roman"/>
        </w:rPr>
        <w:t xml:space="preserve"> </w:t>
      </w:r>
    </w:p>
    <w:p w:rsidR="005B1E75" w:rsidRDefault="00D61645" w:rsidP="00D61645">
      <w:pPr>
        <w:pStyle w:val="Default"/>
        <w:spacing w:line="360" w:lineRule="auto"/>
        <w:ind w:firstLine="420"/>
        <w:rPr>
          <w:rFonts w:ascii="Times New Roman" w:eastAsia="宋体" w:hAnsi="Times New Roman" w:cs="Times New Roman"/>
        </w:rPr>
      </w:pPr>
      <w:r w:rsidRPr="007B09E5">
        <w:rPr>
          <w:rFonts w:ascii="Times New Roman" w:eastAsia="宋体" w:hAnsi="Times New Roman" w:cs="Times New Roman"/>
        </w:rPr>
        <w:t>1</w:t>
      </w:r>
      <w:r w:rsidRPr="007B09E5">
        <w:rPr>
          <w:rFonts w:ascii="Times New Roman" w:eastAsia="宋体" w:hAnsi="Times New Roman" w:cs="Times New Roman"/>
        </w:rPr>
        <w:t>、</w:t>
      </w:r>
      <w:r w:rsidR="005B1E75">
        <w:rPr>
          <w:rFonts w:ascii="Times New Roman" w:eastAsia="宋体" w:hAnsi="Times New Roman" w:cs="Times New Roman" w:hint="eastAsia"/>
        </w:rPr>
        <w:t>北交所上市股票是国内依法上市的股票，属于《</w:t>
      </w:r>
      <w:r w:rsidR="005B1E75" w:rsidRPr="00625634">
        <w:rPr>
          <w:rFonts w:hint="eastAsia"/>
          <w:shd w:val="clear" w:color="auto" w:fill="FFFFFF"/>
        </w:rPr>
        <w:t>中华人民共和国</w:t>
      </w:r>
      <w:r w:rsidR="005B1E75" w:rsidRPr="00625634">
        <w:rPr>
          <w:shd w:val="clear" w:color="auto" w:fill="FFFFFF"/>
        </w:rPr>
        <w:t>证券投资基金法</w:t>
      </w:r>
      <w:r w:rsidR="005B1E75">
        <w:rPr>
          <w:rFonts w:ascii="Times New Roman" w:eastAsia="宋体" w:hAnsi="Times New Roman" w:cs="Times New Roman" w:hint="eastAsia"/>
        </w:rPr>
        <w:t>》第七十二条第一项规定的“上市交易的股票”。</w:t>
      </w:r>
    </w:p>
    <w:p w:rsidR="00D61645" w:rsidRDefault="00D61645" w:rsidP="00D61645">
      <w:pPr>
        <w:pStyle w:val="Default"/>
        <w:spacing w:line="360" w:lineRule="auto"/>
        <w:ind w:firstLine="420"/>
        <w:rPr>
          <w:rFonts w:ascii="Times New Roman" w:eastAsia="宋体" w:hAnsi="Times New Roman"/>
        </w:rPr>
      </w:pPr>
      <w:r w:rsidRPr="007B09E5">
        <w:rPr>
          <w:rFonts w:ascii="Times New Roman" w:eastAsia="宋体" w:hAnsi="Times New Roman" w:cs="Times New Roman"/>
        </w:rPr>
        <w:t>2</w:t>
      </w:r>
      <w:r w:rsidRPr="007B09E5">
        <w:rPr>
          <w:rFonts w:ascii="Times New Roman" w:eastAsia="宋体" w:hAnsi="Times New Roman" w:cs="Times New Roman"/>
        </w:rPr>
        <w:t>、</w:t>
      </w:r>
      <w:r w:rsidR="005B1E75">
        <w:rPr>
          <w:rFonts w:ascii="Times New Roman" w:eastAsia="宋体" w:hAnsi="Times New Roman" w:cs="Times New Roman" w:hint="eastAsia"/>
        </w:rPr>
        <w:t>本公司旗下公募基金可根据各自基金合同的约定，</w:t>
      </w:r>
      <w:r w:rsidR="0031279B">
        <w:rPr>
          <w:rFonts w:ascii="Times New Roman" w:eastAsia="宋体" w:hAnsi="Times New Roman" w:cs="Times New Roman" w:hint="eastAsia"/>
        </w:rPr>
        <w:t>并在遵守基金合同所约定的投资目标、投资范围、</w:t>
      </w:r>
      <w:r w:rsidR="0031279B" w:rsidRPr="007B09E5">
        <w:rPr>
          <w:rFonts w:ascii="Times New Roman" w:eastAsia="宋体" w:hAnsi="Times New Roman" w:hint="eastAsia"/>
        </w:rPr>
        <w:t>资产配置比例</w:t>
      </w:r>
      <w:r w:rsidR="0031279B">
        <w:rPr>
          <w:rFonts w:ascii="Times New Roman" w:eastAsia="宋体" w:hAnsi="Times New Roman" w:hint="eastAsia"/>
        </w:rPr>
        <w:t>、</w:t>
      </w:r>
      <w:r w:rsidR="0031279B">
        <w:rPr>
          <w:rFonts w:ascii="Times New Roman" w:eastAsia="宋体" w:hAnsi="Times New Roman" w:cs="Times New Roman" w:hint="eastAsia"/>
        </w:rPr>
        <w:t>投资策略、投资限制、</w:t>
      </w:r>
      <w:r w:rsidR="0031279B" w:rsidRPr="007B09E5">
        <w:rPr>
          <w:rFonts w:ascii="Times New Roman" w:eastAsia="宋体" w:hAnsi="Times New Roman" w:hint="eastAsia"/>
        </w:rPr>
        <w:t>风险收益特征和相关风险控制指标</w:t>
      </w:r>
      <w:r w:rsidR="0031279B">
        <w:rPr>
          <w:rFonts w:ascii="Times New Roman" w:eastAsia="宋体" w:hAnsi="Times New Roman" w:hint="eastAsia"/>
        </w:rPr>
        <w:t>的前提下参与北交所上市股票的投资。</w:t>
      </w:r>
    </w:p>
    <w:p w:rsidR="0031279B" w:rsidRPr="007B09E5" w:rsidRDefault="0031279B" w:rsidP="00D61645">
      <w:pPr>
        <w:pStyle w:val="Default"/>
        <w:spacing w:line="360" w:lineRule="auto"/>
        <w:ind w:firstLine="420"/>
        <w:rPr>
          <w:rFonts w:ascii="Times New Roman" w:eastAsia="宋体" w:hAnsi="Times New Roman" w:cs="Times New Roman"/>
        </w:rPr>
      </w:pPr>
      <w:r w:rsidRPr="007B09E5">
        <w:rPr>
          <w:rFonts w:ascii="Times New Roman" w:eastAsia="宋体" w:hAnsi="Times New Roman" w:hint="eastAsia"/>
        </w:rPr>
        <w:t>基金可根据投资策略需要或市场环境的变化，选择将部分基金资产投资于</w:t>
      </w:r>
      <w:r>
        <w:rPr>
          <w:rFonts w:ascii="Times New Roman" w:eastAsia="宋体" w:hAnsi="Times New Roman" w:hint="eastAsia"/>
        </w:rPr>
        <w:t>北交所上市</w:t>
      </w:r>
      <w:r w:rsidRPr="007B09E5">
        <w:rPr>
          <w:rFonts w:ascii="Times New Roman" w:eastAsia="宋体" w:hAnsi="Times New Roman" w:hint="eastAsia"/>
        </w:rPr>
        <w:t>股票或选择不将基金资产投资于</w:t>
      </w:r>
      <w:r>
        <w:rPr>
          <w:rFonts w:ascii="Times New Roman" w:eastAsia="宋体" w:hAnsi="Times New Roman" w:hint="eastAsia"/>
        </w:rPr>
        <w:t>北交所上市</w:t>
      </w:r>
      <w:r w:rsidRPr="007B09E5">
        <w:rPr>
          <w:rFonts w:ascii="Times New Roman" w:eastAsia="宋体" w:hAnsi="Times New Roman" w:hint="eastAsia"/>
        </w:rPr>
        <w:t>股票，基金资产并非必然投资于</w:t>
      </w:r>
      <w:r>
        <w:rPr>
          <w:rFonts w:ascii="Times New Roman" w:eastAsia="宋体" w:hAnsi="Times New Roman" w:hint="eastAsia"/>
        </w:rPr>
        <w:t>北交所上市</w:t>
      </w:r>
      <w:r w:rsidRPr="007B09E5">
        <w:rPr>
          <w:rFonts w:ascii="Times New Roman" w:eastAsia="宋体" w:hAnsi="Times New Roman" w:hint="eastAsia"/>
        </w:rPr>
        <w:t>股票。</w:t>
      </w:r>
    </w:p>
    <w:p w:rsidR="00911A79" w:rsidRDefault="00D61645" w:rsidP="00911A79">
      <w:pPr>
        <w:pStyle w:val="Default"/>
        <w:spacing w:line="360" w:lineRule="auto"/>
        <w:ind w:firstLine="420"/>
        <w:rPr>
          <w:shd w:val="clear" w:color="auto" w:fill="FFFFFF"/>
        </w:rPr>
      </w:pPr>
      <w:r w:rsidRPr="007B09E5">
        <w:rPr>
          <w:rFonts w:ascii="Times New Roman" w:eastAsia="宋体" w:hAnsi="Times New Roman" w:cs="Times New Roman"/>
        </w:rPr>
        <w:t>3</w:t>
      </w:r>
      <w:r w:rsidRPr="007B09E5">
        <w:rPr>
          <w:rFonts w:ascii="Times New Roman" w:eastAsia="宋体" w:hAnsi="Times New Roman" w:cs="Times New Roman"/>
        </w:rPr>
        <w:t>、</w:t>
      </w:r>
      <w:r w:rsidR="0031279B">
        <w:rPr>
          <w:rFonts w:ascii="Times New Roman" w:eastAsia="宋体" w:hAnsi="Times New Roman" w:cs="Times New Roman" w:hint="eastAsia"/>
        </w:rPr>
        <w:t>本公司在参与北交所上市股票投资的过程中，</w:t>
      </w:r>
      <w:r w:rsidR="00911A79" w:rsidRPr="0072251A">
        <w:rPr>
          <w:rFonts w:hint="eastAsia"/>
          <w:shd w:val="clear" w:color="auto" w:fill="FFFFFF"/>
        </w:rPr>
        <w:t>将根据审慎的原则</w:t>
      </w:r>
      <w:r w:rsidR="0031279B">
        <w:rPr>
          <w:rFonts w:hint="eastAsia"/>
          <w:shd w:val="clear" w:color="auto" w:fill="FFFFFF"/>
        </w:rPr>
        <w:t>，</w:t>
      </w:r>
      <w:r w:rsidR="00911A79" w:rsidRPr="0072251A">
        <w:rPr>
          <w:rFonts w:hint="eastAsia"/>
          <w:shd w:val="clear" w:color="auto" w:fill="FFFFFF"/>
        </w:rPr>
        <w:t>做好</w:t>
      </w:r>
      <w:r w:rsidR="0031279B">
        <w:rPr>
          <w:rFonts w:hint="eastAsia"/>
          <w:shd w:val="clear" w:color="auto" w:fill="FFFFFF"/>
        </w:rPr>
        <w:t>流动性</w:t>
      </w:r>
      <w:r w:rsidR="00911A79" w:rsidRPr="0072251A">
        <w:rPr>
          <w:rFonts w:hint="eastAsia"/>
          <w:shd w:val="clear" w:color="auto" w:fill="FFFFFF"/>
        </w:rPr>
        <w:t>风险管理，切实保护好基金投资者的利益</w:t>
      </w:r>
      <w:r w:rsidR="0031279B">
        <w:rPr>
          <w:rFonts w:hint="eastAsia"/>
          <w:shd w:val="clear" w:color="auto" w:fill="FFFFFF"/>
        </w:rPr>
        <w:t>。</w:t>
      </w:r>
    </w:p>
    <w:p w:rsidR="0031279B" w:rsidRDefault="0031279B" w:rsidP="00911A79">
      <w:pPr>
        <w:pStyle w:val="Default"/>
        <w:spacing w:line="360" w:lineRule="auto"/>
        <w:ind w:firstLine="420"/>
        <w:rPr>
          <w:shd w:val="clear" w:color="auto" w:fill="FFFFFF"/>
        </w:rPr>
      </w:pPr>
      <w:r>
        <w:rPr>
          <w:rFonts w:hint="eastAsia"/>
          <w:shd w:val="clear" w:color="auto" w:fill="FFFFFF"/>
        </w:rPr>
        <w:t>北交所上市股票具有下列投资风险，敬请投资者注意：</w:t>
      </w:r>
    </w:p>
    <w:p w:rsidR="00405552" w:rsidRPr="00405552" w:rsidRDefault="00405552" w:rsidP="00405552">
      <w:pPr>
        <w:pStyle w:val="Default"/>
        <w:spacing w:line="360" w:lineRule="auto"/>
        <w:ind w:firstLine="420"/>
        <w:rPr>
          <w:shd w:val="clear" w:color="auto" w:fill="FFFFFF"/>
        </w:rPr>
      </w:pPr>
      <w:r w:rsidRPr="00405552">
        <w:rPr>
          <w:shd w:val="clear" w:color="auto" w:fill="FFFFFF"/>
        </w:rPr>
        <w:t>基金资产投资于北交所股票，会面临北交所机制下因投资标的、市场制度以及交易规则等差异带来的特有风险，包括但不限于市场风险、流动性风险、集中度风险、</w:t>
      </w:r>
      <w:r w:rsidRPr="00405552">
        <w:rPr>
          <w:rFonts w:hint="eastAsia"/>
          <w:shd w:val="clear" w:color="auto" w:fill="FFFFFF"/>
        </w:rPr>
        <w:t>退市风险、政策及监管规则变化的风险</w:t>
      </w:r>
      <w:r w:rsidRPr="00405552">
        <w:rPr>
          <w:shd w:val="clear" w:color="auto" w:fill="FFFFFF"/>
        </w:rPr>
        <w:t>等。</w:t>
      </w:r>
    </w:p>
    <w:p w:rsidR="00405552" w:rsidRPr="00405552" w:rsidRDefault="00405552" w:rsidP="00405552">
      <w:pPr>
        <w:pStyle w:val="Default"/>
        <w:spacing w:line="360" w:lineRule="auto"/>
        <w:ind w:firstLine="420"/>
        <w:rPr>
          <w:shd w:val="clear" w:color="auto" w:fill="FFFFFF"/>
        </w:rPr>
      </w:pPr>
      <w:r w:rsidRPr="00405552">
        <w:rPr>
          <w:shd w:val="clear" w:color="auto" w:fill="FFFFFF"/>
        </w:rPr>
        <w:t xml:space="preserve">投资北交所上市股票存在的风险包括： </w:t>
      </w:r>
    </w:p>
    <w:p w:rsidR="00405552" w:rsidRPr="00405552" w:rsidRDefault="00405552" w:rsidP="00405552">
      <w:pPr>
        <w:pStyle w:val="Default"/>
        <w:spacing w:line="360" w:lineRule="auto"/>
        <w:ind w:firstLine="420"/>
        <w:rPr>
          <w:shd w:val="clear" w:color="auto" w:fill="FFFFFF"/>
        </w:rPr>
      </w:pPr>
      <w:r w:rsidRPr="00405552">
        <w:rPr>
          <w:shd w:val="clear" w:color="auto" w:fill="FFFFFF"/>
        </w:rPr>
        <w:t>1、市场风险</w:t>
      </w:r>
    </w:p>
    <w:p w:rsidR="00405552" w:rsidRPr="00405552" w:rsidRDefault="00405552" w:rsidP="00405552">
      <w:pPr>
        <w:pStyle w:val="Default"/>
        <w:spacing w:line="360" w:lineRule="auto"/>
        <w:ind w:firstLine="420"/>
        <w:rPr>
          <w:shd w:val="clear" w:color="auto" w:fill="FFFFFF"/>
        </w:rPr>
      </w:pPr>
      <w:r w:rsidRPr="00405552">
        <w:rPr>
          <w:shd w:val="clear" w:color="auto" w:fill="FFFFFF"/>
        </w:rPr>
        <w:t>北交所个股集中来自新一代信息技术、高端装备、新材料、新能源、节能环保及生物医药等高新技术和专精特新产业领域</w:t>
      </w:r>
      <w:r w:rsidRPr="00405552">
        <w:rPr>
          <w:rFonts w:hint="eastAsia"/>
          <w:shd w:val="clear" w:color="auto" w:fill="FFFFFF"/>
        </w:rPr>
        <w:t>的</w:t>
      </w:r>
      <w:r w:rsidRPr="00405552">
        <w:rPr>
          <w:shd w:val="clear" w:color="auto" w:fill="FFFFFF"/>
        </w:rPr>
        <w:t>创新型中小企业。该类企业往往具有规模小、对技术依赖高、迭代快、议价能力不强等特点，抗市场风险和行业风险能力较弱，存在因产品、经营模式、 相关政策变化而出现经营失败的风险；另一方面，部分中小企业可能尚处于初步发展阶段，企业未来盈利、现金流、估值均存在不确定性，与传统二级市场投资存在差异，整体投资难度加大，个股市场风险加大。</w:t>
      </w:r>
    </w:p>
    <w:p w:rsidR="00405552" w:rsidRPr="00405552" w:rsidRDefault="00405552" w:rsidP="00B901D2">
      <w:pPr>
        <w:pStyle w:val="Default"/>
        <w:spacing w:line="360" w:lineRule="auto"/>
        <w:ind w:firstLine="420"/>
        <w:rPr>
          <w:shd w:val="clear" w:color="auto" w:fill="FFFFFF"/>
        </w:rPr>
      </w:pPr>
      <w:r w:rsidRPr="00405552">
        <w:rPr>
          <w:shd w:val="clear" w:color="auto" w:fill="FFFFFF"/>
        </w:rPr>
        <w:lastRenderedPageBreak/>
        <w:t>北交所个股上市首日无涨跌停限制，第二日开始涨跌幅限制在正负30%以内，个股波动幅度较其他上市公司股票加大，市场风险随之上升。</w:t>
      </w:r>
    </w:p>
    <w:p w:rsidR="00405552" w:rsidRPr="00405552" w:rsidRDefault="00405552" w:rsidP="00405552">
      <w:pPr>
        <w:pStyle w:val="Default"/>
        <w:spacing w:line="360" w:lineRule="auto"/>
        <w:ind w:firstLine="420"/>
        <w:rPr>
          <w:shd w:val="clear" w:color="auto" w:fill="FFFFFF"/>
        </w:rPr>
      </w:pPr>
      <w:r w:rsidRPr="00405552">
        <w:rPr>
          <w:rFonts w:hint="eastAsia"/>
          <w:shd w:val="clear" w:color="auto" w:fill="FFFFFF"/>
        </w:rPr>
        <w:t>2、</w:t>
      </w:r>
      <w:r w:rsidRPr="00405552">
        <w:rPr>
          <w:shd w:val="clear" w:color="auto" w:fill="FFFFFF"/>
        </w:rPr>
        <w:t>流动性风险</w:t>
      </w:r>
    </w:p>
    <w:p w:rsidR="00405552" w:rsidRPr="00405552" w:rsidRDefault="00405552" w:rsidP="00B901D2">
      <w:pPr>
        <w:pStyle w:val="Default"/>
        <w:spacing w:line="360" w:lineRule="auto"/>
        <w:ind w:firstLine="420"/>
        <w:rPr>
          <w:shd w:val="clear" w:color="auto" w:fill="FFFFFF"/>
        </w:rPr>
      </w:pPr>
      <w:r w:rsidRPr="00405552">
        <w:rPr>
          <w:shd w:val="clear" w:color="auto" w:fill="FFFFFF"/>
        </w:rPr>
        <w:t>北交所整体投资门槛较高，个人投资者必须满足交易满两年并且资金在50 万以上才可参与，二级市场上个人投资者参与度相对较低</w:t>
      </w:r>
      <w:r w:rsidRPr="00405552">
        <w:rPr>
          <w:rFonts w:hint="eastAsia"/>
          <w:shd w:val="clear" w:color="auto" w:fill="FFFFFF"/>
        </w:rPr>
        <w:t>。</w:t>
      </w:r>
      <w:r w:rsidRPr="00405552">
        <w:rPr>
          <w:shd w:val="clear" w:color="auto" w:fill="FFFFFF"/>
        </w:rPr>
        <w:t>此外，由于北交所上市企业规模小，部分企业股权较为集中，若投资者在特定阶段对北交所上市股票形成一致预期，由此可能导致整体流动性相对较弱</w:t>
      </w:r>
      <w:r w:rsidRPr="00405552">
        <w:rPr>
          <w:rFonts w:hint="eastAsia"/>
          <w:shd w:val="clear" w:color="auto" w:fill="FFFFFF"/>
        </w:rPr>
        <w:t>，</w:t>
      </w:r>
      <w:r w:rsidRPr="00405552">
        <w:rPr>
          <w:shd w:val="clear" w:color="auto" w:fill="FFFFFF"/>
        </w:rPr>
        <w:t>基金</w:t>
      </w:r>
      <w:r w:rsidRPr="00405552">
        <w:rPr>
          <w:rFonts w:hint="eastAsia"/>
          <w:shd w:val="clear" w:color="auto" w:fill="FFFFFF"/>
        </w:rPr>
        <w:t>可能</w:t>
      </w:r>
      <w:r w:rsidRPr="00405552">
        <w:rPr>
          <w:shd w:val="clear" w:color="auto" w:fill="FFFFFF"/>
        </w:rPr>
        <w:t>面临无法及时变现及其他相关流动性风险。</w:t>
      </w:r>
    </w:p>
    <w:p w:rsidR="00405552" w:rsidRPr="00405552" w:rsidRDefault="00405552" w:rsidP="00405552">
      <w:pPr>
        <w:pStyle w:val="Default"/>
        <w:spacing w:line="360" w:lineRule="auto"/>
        <w:ind w:firstLine="420"/>
        <w:rPr>
          <w:shd w:val="clear" w:color="auto" w:fill="FFFFFF"/>
        </w:rPr>
      </w:pPr>
      <w:r w:rsidRPr="00405552">
        <w:rPr>
          <w:rFonts w:hint="eastAsia"/>
          <w:shd w:val="clear" w:color="auto" w:fill="FFFFFF"/>
        </w:rPr>
        <w:t>3、集中度风险</w:t>
      </w:r>
    </w:p>
    <w:p w:rsidR="00405552" w:rsidRPr="00405552" w:rsidRDefault="00405552" w:rsidP="00A513E6">
      <w:pPr>
        <w:pStyle w:val="Default"/>
        <w:spacing w:line="360" w:lineRule="auto"/>
        <w:ind w:firstLine="420"/>
        <w:rPr>
          <w:shd w:val="clear" w:color="auto" w:fill="FFFFFF"/>
        </w:rPr>
      </w:pPr>
      <w:r w:rsidRPr="00405552">
        <w:rPr>
          <w:shd w:val="clear" w:color="auto" w:fill="FFFFFF"/>
        </w:rPr>
        <w:t>北交所为新设全国性证券交易所，初期可投标的较少，投资者容易集中投资于少量个股，市场可能存在高集中度状况，整体存在集中度风险</w:t>
      </w:r>
      <w:r w:rsidRPr="00405552">
        <w:rPr>
          <w:rFonts w:hint="eastAsia"/>
          <w:shd w:val="clear" w:color="auto" w:fill="FFFFFF"/>
        </w:rPr>
        <w:t>。另外</w:t>
      </w:r>
      <w:r w:rsidRPr="00405552">
        <w:rPr>
          <w:shd w:val="clear" w:color="auto" w:fill="FFFFFF"/>
        </w:rPr>
        <w:t>上市公司主要属于创新型中小企业</w:t>
      </w:r>
      <w:r w:rsidRPr="00405552">
        <w:rPr>
          <w:rFonts w:hint="eastAsia"/>
          <w:shd w:val="clear" w:color="auto" w:fill="FFFFFF"/>
        </w:rPr>
        <w:t>，</w:t>
      </w:r>
      <w:r w:rsidRPr="00405552">
        <w:rPr>
          <w:shd w:val="clear" w:color="auto" w:fill="FFFFFF"/>
        </w:rPr>
        <w:t>其商业模式、盈利、风险和业绩波动等特征较为相似，因此基金</w:t>
      </w:r>
      <w:r w:rsidRPr="00405552">
        <w:rPr>
          <w:rFonts w:hint="eastAsia"/>
          <w:shd w:val="clear" w:color="auto" w:fill="FFFFFF"/>
        </w:rPr>
        <w:t>可能难以</w:t>
      </w:r>
      <w:r w:rsidRPr="00405552">
        <w:rPr>
          <w:shd w:val="clear" w:color="auto" w:fill="FFFFFF"/>
        </w:rPr>
        <w:t>通过分散投资来降低风险，若股票价格同向波动，将引起基金净值较大波动。</w:t>
      </w:r>
    </w:p>
    <w:p w:rsidR="00405552" w:rsidRPr="00405552" w:rsidRDefault="00405552" w:rsidP="00405552">
      <w:pPr>
        <w:pStyle w:val="Default"/>
        <w:spacing w:line="360" w:lineRule="auto"/>
        <w:ind w:firstLine="420"/>
        <w:rPr>
          <w:shd w:val="clear" w:color="auto" w:fill="FFFFFF"/>
        </w:rPr>
      </w:pPr>
      <w:r w:rsidRPr="00405552">
        <w:rPr>
          <w:rFonts w:hint="eastAsia"/>
          <w:shd w:val="clear" w:color="auto" w:fill="FFFFFF"/>
        </w:rPr>
        <w:t>4</w:t>
      </w:r>
      <w:r w:rsidRPr="00405552">
        <w:rPr>
          <w:shd w:val="clear" w:color="auto" w:fill="FFFFFF"/>
        </w:rPr>
        <w:t xml:space="preserve">、退市风险 </w:t>
      </w:r>
    </w:p>
    <w:p w:rsidR="00405552" w:rsidRPr="00405552" w:rsidRDefault="00405552" w:rsidP="00A513E6">
      <w:pPr>
        <w:pStyle w:val="Default"/>
        <w:spacing w:line="360" w:lineRule="auto"/>
        <w:ind w:firstLine="420"/>
        <w:rPr>
          <w:shd w:val="clear" w:color="auto" w:fill="FFFFFF"/>
        </w:rPr>
      </w:pPr>
      <w:r w:rsidRPr="00405552">
        <w:rPr>
          <w:shd w:val="clear" w:color="auto" w:fill="FFFFFF"/>
        </w:rPr>
        <w:t>北交所试点注册制，对经营状况不佳或财务数据造假的企业实行严格的退市制度，一旦所投资的北京证券交易所上市企业进入退市流程，有可能退入新三板创新层或基础层挂牌交易，或转入退市公司板块， 基金可能无法及时将该企业调出投资组合，从而面临退出难度较大、流动性变差、变现成本较高以及股价大幅波动的风险</w:t>
      </w:r>
      <w:r w:rsidRPr="00405552">
        <w:rPr>
          <w:rFonts w:hint="eastAsia"/>
          <w:shd w:val="clear" w:color="auto" w:fill="FFFFFF"/>
        </w:rPr>
        <w:t>，</w:t>
      </w:r>
      <w:r w:rsidRPr="00405552">
        <w:rPr>
          <w:shd w:val="clear" w:color="auto" w:fill="FFFFFF"/>
        </w:rPr>
        <w:t>可能对基金净值造成不利影响。</w:t>
      </w:r>
    </w:p>
    <w:p w:rsidR="00405552" w:rsidRPr="00405552" w:rsidRDefault="00405552" w:rsidP="00405552">
      <w:pPr>
        <w:pStyle w:val="Default"/>
        <w:spacing w:line="360" w:lineRule="auto"/>
        <w:ind w:firstLine="420"/>
        <w:rPr>
          <w:shd w:val="clear" w:color="auto" w:fill="FFFFFF"/>
        </w:rPr>
      </w:pPr>
      <w:r w:rsidRPr="00405552">
        <w:rPr>
          <w:rFonts w:hint="eastAsia"/>
          <w:shd w:val="clear" w:color="auto" w:fill="FFFFFF"/>
        </w:rPr>
        <w:t>5、政策及监管规则变化的风险</w:t>
      </w:r>
    </w:p>
    <w:p w:rsidR="00405552" w:rsidRPr="00405552" w:rsidRDefault="00405552" w:rsidP="00405552">
      <w:pPr>
        <w:pStyle w:val="Default"/>
        <w:spacing w:line="360" w:lineRule="auto"/>
        <w:ind w:firstLine="420"/>
        <w:rPr>
          <w:shd w:val="clear" w:color="auto" w:fill="FFFFFF"/>
        </w:rPr>
      </w:pPr>
      <w:r w:rsidRPr="00405552">
        <w:rPr>
          <w:shd w:val="clear" w:color="auto" w:fill="FFFFFF"/>
        </w:rPr>
        <w:t>国家对高新技术、专精特新企业扶持力度及重视程度的变化会对北交所企业带来较大影响，国际经济形势变化对专精特新产业及北交所个股也会带来政策影响。</w:t>
      </w:r>
    </w:p>
    <w:p w:rsidR="001A53FC" w:rsidRDefault="00405552" w:rsidP="00405552">
      <w:pPr>
        <w:pStyle w:val="Default"/>
        <w:spacing w:line="360" w:lineRule="auto"/>
        <w:ind w:firstLine="420"/>
        <w:rPr>
          <w:shd w:val="clear" w:color="auto" w:fill="FFFFFF"/>
        </w:rPr>
      </w:pPr>
      <w:r w:rsidRPr="00405552">
        <w:rPr>
          <w:shd w:val="clear" w:color="auto" w:fill="FFFFFF"/>
        </w:rPr>
        <w:t>北交所相关法律、行政法规、部门规章、规范性文件和交易所业务规则，可能根据市场情况进行修改完善，或者补充制定新的法律法规和业务规则，可能对基金投资运作产生影响，或导致基金投资运作相应调整变化。</w:t>
      </w:r>
    </w:p>
    <w:p w:rsidR="001A53FC" w:rsidRDefault="001A53FC" w:rsidP="00405552">
      <w:pPr>
        <w:pStyle w:val="Default"/>
        <w:spacing w:line="360" w:lineRule="auto"/>
        <w:rPr>
          <w:shd w:val="clear" w:color="auto" w:fill="FFFFFF"/>
        </w:rPr>
      </w:pPr>
    </w:p>
    <w:p w:rsidR="00F42A8A" w:rsidRPr="007B09E5" w:rsidRDefault="007B09E5" w:rsidP="00F84111">
      <w:pPr>
        <w:pStyle w:val="Default"/>
        <w:spacing w:line="360" w:lineRule="auto"/>
        <w:ind w:firstLineChars="200" w:firstLine="482"/>
        <w:rPr>
          <w:rFonts w:ascii="Times New Roman" w:eastAsia="宋体" w:hAnsi="Times New Roman"/>
        </w:rPr>
      </w:pPr>
      <w:r>
        <w:rPr>
          <w:rFonts w:ascii="Times New Roman" w:eastAsia="宋体" w:hAnsi="Times New Roman" w:hint="eastAsia"/>
          <w:b/>
        </w:rPr>
        <w:t>风险提示</w:t>
      </w:r>
    </w:p>
    <w:p w:rsidR="00F84111" w:rsidRPr="007B09E5" w:rsidRDefault="001A53FC" w:rsidP="001A53FC">
      <w:pPr>
        <w:pStyle w:val="Default"/>
        <w:spacing w:line="360" w:lineRule="auto"/>
        <w:ind w:firstLineChars="200" w:firstLine="480"/>
        <w:rPr>
          <w:rFonts w:ascii="Times New Roman" w:eastAsia="宋体" w:hAnsi="Times New Roman"/>
        </w:rPr>
      </w:pPr>
      <w:r w:rsidRPr="001A53FC">
        <w:rPr>
          <w:rFonts w:ascii="Times New Roman" w:eastAsia="宋体" w:hAnsi="Times New Roman" w:hint="eastAsia"/>
        </w:rPr>
        <w:lastRenderedPageBreak/>
        <w:t>本基金管理人承诺以诚实信用、勤勉尽责的原则管理和运用基金财产，但不保证基金一定盈利，也不保证最低收益。基金的过往业绩并不代表其将来表现，基金管理人所管理的其他基金的业绩并不构成对基金业绩表现的保证。投资有风险，敬请投资者认真阅读基金的基金合同、招募说明书、产品资料概要等相关法律文件，并选择适合自身风险承受能力的投资</w:t>
      </w:r>
      <w:bookmarkStart w:id="0" w:name="_GoBack"/>
      <w:bookmarkEnd w:id="0"/>
      <w:r w:rsidRPr="001A53FC">
        <w:rPr>
          <w:rFonts w:ascii="Times New Roman" w:eastAsia="宋体" w:hAnsi="Times New Roman" w:hint="eastAsia"/>
        </w:rPr>
        <w:t>品种进行投资。</w:t>
      </w:r>
    </w:p>
    <w:p w:rsidR="00F84111" w:rsidRPr="007B09E5" w:rsidRDefault="00F84111" w:rsidP="00F84111">
      <w:pPr>
        <w:pStyle w:val="Default"/>
        <w:spacing w:line="360" w:lineRule="auto"/>
        <w:ind w:firstLineChars="200" w:firstLine="480"/>
        <w:rPr>
          <w:rFonts w:ascii="Times New Roman" w:eastAsia="宋体" w:hAnsi="Times New Roman"/>
        </w:rPr>
      </w:pPr>
      <w:r w:rsidRPr="007B09E5">
        <w:rPr>
          <w:rFonts w:ascii="Times New Roman" w:eastAsia="宋体" w:hAnsi="Times New Roman"/>
        </w:rPr>
        <w:t>特此公告。</w:t>
      </w:r>
    </w:p>
    <w:p w:rsidR="00F84111" w:rsidRPr="007B09E5" w:rsidRDefault="00F84111" w:rsidP="00F84111">
      <w:pPr>
        <w:pStyle w:val="Default"/>
        <w:spacing w:line="360" w:lineRule="auto"/>
        <w:ind w:firstLineChars="200" w:firstLine="480"/>
        <w:jc w:val="right"/>
        <w:rPr>
          <w:rFonts w:ascii="Times New Roman" w:eastAsia="宋体" w:hAnsi="Times New Roman"/>
        </w:rPr>
      </w:pPr>
    </w:p>
    <w:p w:rsidR="00D61645" w:rsidRPr="007B09E5" w:rsidRDefault="00F42A8A" w:rsidP="00F84111">
      <w:pPr>
        <w:pStyle w:val="Default"/>
        <w:spacing w:line="360" w:lineRule="auto"/>
        <w:ind w:firstLineChars="200" w:firstLine="480"/>
        <w:jc w:val="right"/>
        <w:rPr>
          <w:rFonts w:ascii="Times New Roman" w:eastAsia="宋体" w:hAnsi="Times New Roman"/>
        </w:rPr>
      </w:pPr>
      <w:r w:rsidRPr="007B09E5">
        <w:rPr>
          <w:rFonts w:ascii="Times New Roman" w:eastAsia="宋体" w:hAnsi="Times New Roman" w:hint="eastAsia"/>
        </w:rPr>
        <w:t>摩根</w:t>
      </w:r>
      <w:r w:rsidR="00F84111" w:rsidRPr="007B09E5">
        <w:rPr>
          <w:rFonts w:ascii="Times New Roman" w:eastAsia="宋体" w:hAnsi="Times New Roman"/>
        </w:rPr>
        <w:t>基金管理</w:t>
      </w:r>
      <w:r w:rsidR="0031279B">
        <w:rPr>
          <w:rFonts w:ascii="Times New Roman" w:eastAsia="宋体" w:hAnsi="Times New Roman" w:hint="eastAsia"/>
        </w:rPr>
        <w:t>（中国）</w:t>
      </w:r>
      <w:r w:rsidR="00F84111" w:rsidRPr="007B09E5">
        <w:rPr>
          <w:rFonts w:ascii="Times New Roman" w:eastAsia="宋体" w:hAnsi="Times New Roman"/>
        </w:rPr>
        <w:t>有限公司</w:t>
      </w:r>
    </w:p>
    <w:p w:rsidR="00F84111" w:rsidRPr="00027601" w:rsidRDefault="003A2376" w:rsidP="007B23F4">
      <w:pPr>
        <w:pStyle w:val="Default"/>
        <w:wordWrap w:val="0"/>
        <w:spacing w:line="360" w:lineRule="auto"/>
        <w:ind w:right="480" w:firstLineChars="200" w:firstLine="480"/>
        <w:jc w:val="right"/>
        <w:rPr>
          <w:rFonts w:ascii="Times New Roman" w:eastAsia="宋体" w:hAnsi="Times New Roman"/>
        </w:rPr>
      </w:pPr>
      <w:r w:rsidRPr="00027601">
        <w:rPr>
          <w:rFonts w:ascii="Times New Roman" w:eastAsia="宋体" w:hAnsi="Times New Roman" w:hint="eastAsia"/>
        </w:rPr>
        <w:t>2</w:t>
      </w:r>
      <w:r w:rsidRPr="00027601">
        <w:rPr>
          <w:rFonts w:ascii="Times New Roman" w:eastAsia="宋体" w:hAnsi="Times New Roman"/>
        </w:rPr>
        <w:t>0</w:t>
      </w:r>
      <w:r w:rsidR="0031279B" w:rsidRPr="00027601">
        <w:rPr>
          <w:rFonts w:ascii="Times New Roman" w:eastAsia="宋体" w:hAnsi="Times New Roman"/>
        </w:rPr>
        <w:t>24</w:t>
      </w:r>
      <w:r w:rsidR="00F84111" w:rsidRPr="00027601">
        <w:rPr>
          <w:rFonts w:ascii="Times New Roman" w:eastAsia="宋体" w:hAnsi="Times New Roman"/>
        </w:rPr>
        <w:t>年</w:t>
      </w:r>
      <w:r w:rsidR="00F720E0" w:rsidRPr="00027601">
        <w:rPr>
          <w:rFonts w:ascii="Times New Roman" w:eastAsia="宋体" w:hAnsi="Times New Roman"/>
        </w:rPr>
        <w:t>3</w:t>
      </w:r>
      <w:r w:rsidR="00F84111" w:rsidRPr="00027601">
        <w:rPr>
          <w:rFonts w:ascii="Times New Roman" w:eastAsia="宋体" w:hAnsi="Times New Roman"/>
        </w:rPr>
        <w:t>月</w:t>
      </w:r>
      <w:r w:rsidR="00F720E0" w:rsidRPr="00027601">
        <w:rPr>
          <w:rFonts w:ascii="Times New Roman" w:eastAsia="宋体" w:hAnsi="Times New Roman"/>
        </w:rPr>
        <w:t>27</w:t>
      </w:r>
      <w:r w:rsidR="00F84111" w:rsidRPr="00027601">
        <w:rPr>
          <w:rFonts w:ascii="Times New Roman" w:eastAsia="宋体" w:hAnsi="Times New Roman"/>
        </w:rPr>
        <w:t>日</w:t>
      </w:r>
    </w:p>
    <w:p w:rsidR="00F84111" w:rsidRPr="007B09E5" w:rsidRDefault="00F84111" w:rsidP="00F84111">
      <w:pPr>
        <w:pStyle w:val="Default"/>
        <w:spacing w:line="360" w:lineRule="auto"/>
        <w:ind w:right="480" w:firstLineChars="200" w:firstLine="480"/>
        <w:jc w:val="right"/>
        <w:rPr>
          <w:rFonts w:ascii="Times New Roman" w:eastAsia="宋体" w:hAnsi="Times New Roman" w:cs="Times New Roman"/>
        </w:rPr>
      </w:pPr>
    </w:p>
    <w:p w:rsidR="00F84111" w:rsidRPr="007B09E5" w:rsidRDefault="00F84111" w:rsidP="00F84111">
      <w:pPr>
        <w:pStyle w:val="Default"/>
        <w:spacing w:line="360" w:lineRule="auto"/>
        <w:rPr>
          <w:rFonts w:ascii="Times New Roman" w:eastAsia="宋体" w:hAnsi="Times New Roman"/>
        </w:rPr>
      </w:pPr>
      <w:r w:rsidRPr="007B09E5">
        <w:rPr>
          <w:rFonts w:ascii="Times New Roman" w:eastAsia="宋体" w:hAnsi="Times New Roman"/>
        </w:rPr>
        <w:t>附件一</w:t>
      </w:r>
      <w:r w:rsidRPr="007B09E5">
        <w:rPr>
          <w:rFonts w:ascii="Times New Roman" w:eastAsia="宋体" w:hAnsi="Times New Roman" w:hint="eastAsia"/>
        </w:rPr>
        <w:t>：</w:t>
      </w:r>
      <w:r w:rsidR="00702D45">
        <w:rPr>
          <w:rFonts w:ascii="Times New Roman" w:eastAsia="宋体" w:hAnsi="Times New Roman" w:hint="eastAsia"/>
        </w:rPr>
        <w:t>参与</w:t>
      </w:r>
      <w:r w:rsidR="0031279B" w:rsidRPr="007B09E5">
        <w:rPr>
          <w:rFonts w:ascii="Times New Roman" w:eastAsia="宋体" w:hAnsi="Times New Roman" w:hint="eastAsia"/>
        </w:rPr>
        <w:t>投资</w:t>
      </w:r>
      <w:r w:rsidR="0031279B">
        <w:rPr>
          <w:rFonts w:ascii="Times New Roman" w:eastAsia="宋体" w:hAnsi="Times New Roman" w:hint="eastAsia"/>
        </w:rPr>
        <w:t>北交所上市</w:t>
      </w:r>
      <w:r w:rsidR="0031279B" w:rsidRPr="007B09E5">
        <w:rPr>
          <w:rFonts w:ascii="Times New Roman" w:eastAsia="宋体" w:hAnsi="Times New Roman" w:hint="eastAsia"/>
        </w:rPr>
        <w:t>股票</w:t>
      </w:r>
      <w:r w:rsidRPr="007B09E5">
        <w:rPr>
          <w:rFonts w:ascii="Times New Roman" w:eastAsia="宋体" w:hAnsi="Times New Roman" w:hint="eastAsia"/>
        </w:rPr>
        <w:t>的证券投资基金列表</w:t>
      </w:r>
    </w:p>
    <w:tbl>
      <w:tblPr>
        <w:tblW w:w="82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6899"/>
      </w:tblGrid>
      <w:tr w:rsidR="00F720E0" w:rsidRPr="00C857EF" w:rsidTr="00F720E0">
        <w:trPr>
          <w:trHeight w:val="446"/>
        </w:trPr>
        <w:tc>
          <w:tcPr>
            <w:tcW w:w="1335" w:type="dxa"/>
            <w:shd w:val="clear" w:color="auto" w:fill="auto"/>
            <w:noWrap/>
            <w:vAlign w:val="center"/>
            <w:hideMark/>
          </w:tcPr>
          <w:p w:rsidR="00F720E0" w:rsidRPr="00C857EF" w:rsidRDefault="00F720E0" w:rsidP="007D1CA4">
            <w:pPr>
              <w:widowControl/>
              <w:jc w:val="center"/>
              <w:rPr>
                <w:rFonts w:ascii="宋体" w:eastAsia="宋体" w:hAnsi="宋体" w:cs="宋体"/>
                <w:color w:val="000000"/>
                <w:kern w:val="0"/>
                <w:sz w:val="24"/>
                <w:szCs w:val="24"/>
              </w:rPr>
            </w:pPr>
            <w:r w:rsidRPr="00C857EF">
              <w:rPr>
                <w:rFonts w:ascii="宋体" w:eastAsia="宋体" w:hAnsi="宋体" w:cs="宋体" w:hint="eastAsia"/>
                <w:color w:val="000000"/>
                <w:kern w:val="0"/>
                <w:sz w:val="24"/>
                <w:szCs w:val="24"/>
              </w:rPr>
              <w:t>序号</w:t>
            </w:r>
          </w:p>
        </w:tc>
        <w:tc>
          <w:tcPr>
            <w:tcW w:w="6899" w:type="dxa"/>
            <w:shd w:val="clear" w:color="auto" w:fill="auto"/>
            <w:noWrap/>
            <w:vAlign w:val="center"/>
            <w:hideMark/>
          </w:tcPr>
          <w:p w:rsidR="00F720E0" w:rsidRPr="00C857EF" w:rsidRDefault="00F720E0" w:rsidP="00C857EF">
            <w:pPr>
              <w:widowControl/>
              <w:jc w:val="center"/>
              <w:rPr>
                <w:rFonts w:ascii="宋体" w:eastAsia="宋体" w:hAnsi="宋体" w:cs="宋体"/>
                <w:color w:val="000000"/>
                <w:kern w:val="0"/>
                <w:sz w:val="24"/>
                <w:szCs w:val="24"/>
              </w:rPr>
            </w:pPr>
            <w:r w:rsidRPr="00C857EF">
              <w:rPr>
                <w:rFonts w:ascii="宋体" w:eastAsia="宋体" w:hAnsi="宋体" w:cs="宋体" w:hint="eastAsia"/>
                <w:color w:val="000000"/>
                <w:kern w:val="0"/>
                <w:sz w:val="24"/>
                <w:szCs w:val="24"/>
              </w:rPr>
              <w:t>基金全称</w:t>
            </w:r>
          </w:p>
        </w:tc>
      </w:tr>
      <w:tr w:rsidR="00F720E0" w:rsidRPr="00C857EF" w:rsidTr="00F720E0">
        <w:trPr>
          <w:trHeight w:val="446"/>
        </w:trPr>
        <w:tc>
          <w:tcPr>
            <w:tcW w:w="1335" w:type="dxa"/>
            <w:shd w:val="clear" w:color="auto" w:fill="auto"/>
            <w:noWrap/>
            <w:vAlign w:val="center"/>
            <w:hideMark/>
          </w:tcPr>
          <w:p w:rsidR="00F720E0" w:rsidRPr="00C857EF" w:rsidRDefault="00F720E0" w:rsidP="003A2376">
            <w:pPr>
              <w:widowControl/>
              <w:jc w:val="center"/>
              <w:rPr>
                <w:rFonts w:ascii="宋体" w:eastAsia="宋体" w:hAnsi="宋体" w:cs="宋体"/>
                <w:color w:val="000000"/>
                <w:kern w:val="0"/>
                <w:sz w:val="24"/>
                <w:szCs w:val="24"/>
              </w:rPr>
            </w:pPr>
            <w:r>
              <w:rPr>
                <w:rFonts w:ascii="等线" w:eastAsia="等线" w:hAnsi="等线" w:hint="eastAsia"/>
                <w:color w:val="000000"/>
                <w:sz w:val="22"/>
              </w:rPr>
              <w:t>1</w:t>
            </w:r>
          </w:p>
        </w:tc>
        <w:tc>
          <w:tcPr>
            <w:tcW w:w="6899" w:type="dxa"/>
            <w:shd w:val="clear" w:color="auto" w:fill="auto"/>
            <w:noWrap/>
            <w:vAlign w:val="center"/>
          </w:tcPr>
          <w:p w:rsidR="00F720E0" w:rsidRPr="00C857EF" w:rsidRDefault="00F720E0" w:rsidP="003A2376">
            <w:pPr>
              <w:widowControl/>
              <w:jc w:val="center"/>
              <w:rPr>
                <w:rFonts w:ascii="宋体" w:eastAsia="宋体" w:hAnsi="宋体" w:cs="宋体"/>
                <w:color w:val="000000"/>
                <w:kern w:val="0"/>
                <w:sz w:val="24"/>
                <w:szCs w:val="24"/>
              </w:rPr>
            </w:pPr>
            <w:r w:rsidRPr="004831AA">
              <w:rPr>
                <w:rFonts w:ascii="宋体" w:eastAsia="宋体" w:hAnsi="宋体" w:cs="宋体" w:hint="eastAsia"/>
                <w:color w:val="000000"/>
                <w:kern w:val="0"/>
                <w:sz w:val="24"/>
                <w:szCs w:val="24"/>
              </w:rPr>
              <w:t>摩根强化回报债券型证券投资基金</w:t>
            </w:r>
          </w:p>
        </w:tc>
      </w:tr>
      <w:tr w:rsidR="00F720E0" w:rsidRPr="00C857EF" w:rsidTr="00F720E0">
        <w:trPr>
          <w:trHeight w:val="446"/>
        </w:trPr>
        <w:tc>
          <w:tcPr>
            <w:tcW w:w="1335" w:type="dxa"/>
            <w:shd w:val="clear" w:color="auto" w:fill="auto"/>
            <w:noWrap/>
            <w:vAlign w:val="center"/>
            <w:hideMark/>
          </w:tcPr>
          <w:p w:rsidR="00F720E0" w:rsidRPr="00C857EF" w:rsidRDefault="00F720E0" w:rsidP="003A2376">
            <w:pPr>
              <w:widowControl/>
              <w:jc w:val="center"/>
              <w:rPr>
                <w:rFonts w:ascii="宋体" w:eastAsia="宋体" w:hAnsi="宋体" w:cs="宋体"/>
                <w:color w:val="000000"/>
                <w:kern w:val="0"/>
                <w:sz w:val="24"/>
                <w:szCs w:val="24"/>
              </w:rPr>
            </w:pPr>
            <w:r>
              <w:rPr>
                <w:rFonts w:ascii="等线" w:eastAsia="等线" w:hAnsi="等线" w:hint="eastAsia"/>
                <w:color w:val="000000"/>
                <w:sz w:val="22"/>
              </w:rPr>
              <w:t>2</w:t>
            </w:r>
          </w:p>
        </w:tc>
        <w:tc>
          <w:tcPr>
            <w:tcW w:w="6899" w:type="dxa"/>
            <w:shd w:val="clear" w:color="auto" w:fill="auto"/>
            <w:noWrap/>
            <w:vAlign w:val="center"/>
          </w:tcPr>
          <w:p w:rsidR="00F720E0" w:rsidRPr="00C857EF" w:rsidRDefault="00F720E0" w:rsidP="003A2376">
            <w:pPr>
              <w:widowControl/>
              <w:jc w:val="center"/>
              <w:rPr>
                <w:rFonts w:ascii="宋体" w:eastAsia="宋体" w:hAnsi="宋体" w:cs="宋体"/>
                <w:color w:val="000000"/>
                <w:kern w:val="0"/>
                <w:sz w:val="24"/>
                <w:szCs w:val="24"/>
              </w:rPr>
            </w:pPr>
            <w:r w:rsidRPr="004831AA">
              <w:rPr>
                <w:rFonts w:ascii="宋体" w:eastAsia="宋体" w:hAnsi="宋体" w:cs="宋体" w:hint="eastAsia"/>
                <w:color w:val="000000"/>
                <w:kern w:val="0"/>
                <w:sz w:val="24"/>
                <w:szCs w:val="24"/>
              </w:rPr>
              <w:t>摩根双债增利债券型证券投资基金</w:t>
            </w:r>
          </w:p>
        </w:tc>
      </w:tr>
      <w:tr w:rsidR="00F720E0" w:rsidRPr="00C857EF" w:rsidTr="00F720E0">
        <w:trPr>
          <w:trHeight w:val="446"/>
        </w:trPr>
        <w:tc>
          <w:tcPr>
            <w:tcW w:w="1335" w:type="dxa"/>
            <w:shd w:val="clear" w:color="auto" w:fill="auto"/>
            <w:noWrap/>
            <w:vAlign w:val="center"/>
            <w:hideMark/>
          </w:tcPr>
          <w:p w:rsidR="00F720E0" w:rsidRPr="00C857EF" w:rsidRDefault="00F720E0" w:rsidP="003A2376">
            <w:pPr>
              <w:widowControl/>
              <w:jc w:val="center"/>
              <w:rPr>
                <w:rFonts w:ascii="宋体" w:eastAsia="宋体" w:hAnsi="宋体" w:cs="宋体"/>
                <w:color w:val="000000"/>
                <w:kern w:val="0"/>
                <w:sz w:val="24"/>
                <w:szCs w:val="24"/>
              </w:rPr>
            </w:pPr>
            <w:r>
              <w:rPr>
                <w:rFonts w:ascii="等线" w:eastAsia="等线" w:hAnsi="等线" w:hint="eastAsia"/>
                <w:color w:val="000000"/>
                <w:sz w:val="22"/>
              </w:rPr>
              <w:t>3</w:t>
            </w:r>
          </w:p>
        </w:tc>
        <w:tc>
          <w:tcPr>
            <w:tcW w:w="6899" w:type="dxa"/>
            <w:shd w:val="clear" w:color="auto" w:fill="auto"/>
            <w:noWrap/>
            <w:vAlign w:val="center"/>
          </w:tcPr>
          <w:p w:rsidR="00F720E0" w:rsidRPr="00C857EF" w:rsidRDefault="00F720E0" w:rsidP="003A2376">
            <w:pPr>
              <w:widowControl/>
              <w:jc w:val="center"/>
              <w:rPr>
                <w:rFonts w:ascii="宋体" w:eastAsia="宋体" w:hAnsi="宋体" w:cs="宋体"/>
                <w:color w:val="000000"/>
                <w:kern w:val="0"/>
                <w:sz w:val="24"/>
                <w:szCs w:val="24"/>
              </w:rPr>
            </w:pPr>
            <w:r w:rsidRPr="004831AA">
              <w:rPr>
                <w:rFonts w:ascii="宋体" w:eastAsia="宋体" w:hAnsi="宋体" w:cs="宋体" w:hint="eastAsia"/>
                <w:color w:val="000000"/>
                <w:kern w:val="0"/>
                <w:sz w:val="24"/>
                <w:szCs w:val="24"/>
              </w:rPr>
              <w:t>摩根安隆回报混合型证券投资基金</w:t>
            </w:r>
          </w:p>
        </w:tc>
      </w:tr>
      <w:tr w:rsidR="00F720E0" w:rsidRPr="00C857EF" w:rsidTr="00F720E0">
        <w:trPr>
          <w:trHeight w:val="446"/>
        </w:trPr>
        <w:tc>
          <w:tcPr>
            <w:tcW w:w="1335" w:type="dxa"/>
            <w:shd w:val="clear" w:color="auto" w:fill="auto"/>
            <w:noWrap/>
            <w:vAlign w:val="center"/>
            <w:hideMark/>
          </w:tcPr>
          <w:p w:rsidR="00F720E0" w:rsidRPr="00C857EF" w:rsidRDefault="00F720E0" w:rsidP="003A2376">
            <w:pPr>
              <w:widowControl/>
              <w:jc w:val="center"/>
              <w:rPr>
                <w:rFonts w:ascii="宋体" w:eastAsia="宋体" w:hAnsi="宋体" w:cs="宋体"/>
                <w:color w:val="000000"/>
                <w:kern w:val="0"/>
                <w:sz w:val="24"/>
                <w:szCs w:val="24"/>
              </w:rPr>
            </w:pPr>
            <w:r>
              <w:rPr>
                <w:rFonts w:ascii="等线" w:eastAsia="等线" w:hAnsi="等线" w:hint="eastAsia"/>
                <w:color w:val="000000"/>
                <w:sz w:val="22"/>
              </w:rPr>
              <w:t>4</w:t>
            </w:r>
          </w:p>
        </w:tc>
        <w:tc>
          <w:tcPr>
            <w:tcW w:w="6899" w:type="dxa"/>
            <w:shd w:val="clear" w:color="auto" w:fill="auto"/>
            <w:noWrap/>
            <w:vAlign w:val="center"/>
          </w:tcPr>
          <w:p w:rsidR="00F720E0" w:rsidRPr="00C857EF" w:rsidRDefault="00F720E0" w:rsidP="003A2376">
            <w:pPr>
              <w:widowControl/>
              <w:jc w:val="center"/>
              <w:rPr>
                <w:rFonts w:ascii="宋体" w:eastAsia="宋体" w:hAnsi="宋体" w:cs="宋体"/>
                <w:color w:val="000000"/>
                <w:kern w:val="0"/>
                <w:sz w:val="24"/>
                <w:szCs w:val="24"/>
              </w:rPr>
            </w:pPr>
            <w:r w:rsidRPr="004831AA">
              <w:rPr>
                <w:rFonts w:ascii="宋体" w:eastAsia="宋体" w:hAnsi="宋体" w:cs="宋体" w:hint="eastAsia"/>
                <w:color w:val="000000"/>
                <w:kern w:val="0"/>
                <w:sz w:val="24"/>
                <w:szCs w:val="24"/>
              </w:rPr>
              <w:t>摩根安裕回报混合型证券投资基金</w:t>
            </w:r>
          </w:p>
        </w:tc>
      </w:tr>
      <w:tr w:rsidR="00F720E0" w:rsidRPr="00C857EF" w:rsidTr="00F720E0">
        <w:trPr>
          <w:trHeight w:val="446"/>
        </w:trPr>
        <w:tc>
          <w:tcPr>
            <w:tcW w:w="1335" w:type="dxa"/>
            <w:shd w:val="clear" w:color="auto" w:fill="auto"/>
            <w:noWrap/>
            <w:vAlign w:val="center"/>
            <w:hideMark/>
          </w:tcPr>
          <w:p w:rsidR="00F720E0" w:rsidRPr="00C857EF" w:rsidRDefault="00F720E0" w:rsidP="003A2376">
            <w:pPr>
              <w:widowControl/>
              <w:jc w:val="center"/>
              <w:rPr>
                <w:rFonts w:ascii="宋体" w:eastAsia="宋体" w:hAnsi="宋体" w:cs="宋体"/>
                <w:color w:val="000000"/>
                <w:kern w:val="0"/>
                <w:sz w:val="24"/>
                <w:szCs w:val="24"/>
              </w:rPr>
            </w:pPr>
            <w:r>
              <w:rPr>
                <w:rFonts w:ascii="等线" w:eastAsia="等线" w:hAnsi="等线" w:hint="eastAsia"/>
                <w:color w:val="000000"/>
                <w:sz w:val="22"/>
              </w:rPr>
              <w:t>5</w:t>
            </w:r>
          </w:p>
        </w:tc>
        <w:tc>
          <w:tcPr>
            <w:tcW w:w="6899" w:type="dxa"/>
            <w:shd w:val="clear" w:color="auto" w:fill="auto"/>
            <w:noWrap/>
            <w:vAlign w:val="center"/>
          </w:tcPr>
          <w:p w:rsidR="00F720E0" w:rsidRPr="00C857EF" w:rsidRDefault="00F720E0" w:rsidP="003A2376">
            <w:pPr>
              <w:widowControl/>
              <w:jc w:val="center"/>
              <w:rPr>
                <w:rFonts w:ascii="宋体" w:eastAsia="宋体" w:hAnsi="宋体" w:cs="宋体"/>
                <w:color w:val="000000"/>
                <w:kern w:val="0"/>
                <w:sz w:val="24"/>
                <w:szCs w:val="24"/>
              </w:rPr>
            </w:pPr>
            <w:r w:rsidRPr="004831AA">
              <w:rPr>
                <w:rFonts w:ascii="宋体" w:eastAsia="宋体" w:hAnsi="宋体" w:cs="宋体" w:hint="eastAsia"/>
                <w:color w:val="000000"/>
                <w:kern w:val="0"/>
                <w:sz w:val="24"/>
                <w:szCs w:val="24"/>
              </w:rPr>
              <w:t>摩根安享回报一年持有期债券型证券投资基金</w:t>
            </w:r>
          </w:p>
        </w:tc>
      </w:tr>
      <w:tr w:rsidR="00F720E0" w:rsidRPr="00C857EF" w:rsidTr="00F720E0">
        <w:trPr>
          <w:trHeight w:val="446"/>
        </w:trPr>
        <w:tc>
          <w:tcPr>
            <w:tcW w:w="1335" w:type="dxa"/>
            <w:shd w:val="clear" w:color="auto" w:fill="auto"/>
            <w:noWrap/>
            <w:vAlign w:val="center"/>
            <w:hideMark/>
          </w:tcPr>
          <w:p w:rsidR="00F720E0" w:rsidRPr="00C857EF" w:rsidRDefault="00F720E0" w:rsidP="003A2376">
            <w:pPr>
              <w:widowControl/>
              <w:jc w:val="center"/>
              <w:rPr>
                <w:rFonts w:ascii="宋体" w:eastAsia="宋体" w:hAnsi="宋体" w:cs="宋体"/>
                <w:color w:val="000000"/>
                <w:kern w:val="0"/>
                <w:sz w:val="24"/>
                <w:szCs w:val="24"/>
              </w:rPr>
            </w:pPr>
            <w:r>
              <w:rPr>
                <w:rFonts w:ascii="等线" w:eastAsia="等线" w:hAnsi="等线" w:hint="eastAsia"/>
                <w:color w:val="000000"/>
                <w:sz w:val="22"/>
              </w:rPr>
              <w:t>6</w:t>
            </w:r>
          </w:p>
        </w:tc>
        <w:tc>
          <w:tcPr>
            <w:tcW w:w="6899" w:type="dxa"/>
            <w:shd w:val="clear" w:color="auto" w:fill="auto"/>
            <w:noWrap/>
            <w:vAlign w:val="center"/>
          </w:tcPr>
          <w:p w:rsidR="00F720E0" w:rsidRPr="00C857EF" w:rsidRDefault="00F720E0" w:rsidP="003A2376">
            <w:pPr>
              <w:widowControl/>
              <w:jc w:val="center"/>
              <w:rPr>
                <w:rFonts w:ascii="宋体" w:eastAsia="宋体" w:hAnsi="宋体" w:cs="宋体"/>
                <w:color w:val="000000"/>
                <w:kern w:val="0"/>
                <w:sz w:val="24"/>
                <w:szCs w:val="24"/>
              </w:rPr>
            </w:pPr>
            <w:r w:rsidRPr="004831AA">
              <w:rPr>
                <w:rFonts w:ascii="宋体" w:eastAsia="宋体" w:hAnsi="宋体" w:cs="宋体" w:hint="eastAsia"/>
                <w:color w:val="000000"/>
                <w:kern w:val="0"/>
                <w:sz w:val="24"/>
                <w:szCs w:val="24"/>
              </w:rPr>
              <w:t>摩根安荣回报混合型证券投资基金</w:t>
            </w:r>
          </w:p>
        </w:tc>
      </w:tr>
    </w:tbl>
    <w:p w:rsidR="00F84111" w:rsidRPr="007B09E5" w:rsidRDefault="00F84111" w:rsidP="00F84111">
      <w:pPr>
        <w:pStyle w:val="Default"/>
        <w:spacing w:line="360" w:lineRule="auto"/>
        <w:ind w:right="480" w:firstLineChars="200" w:firstLine="480"/>
        <w:rPr>
          <w:rFonts w:ascii="Times New Roman" w:eastAsia="宋体" w:hAnsi="Times New Roman" w:cs="Times New Roman"/>
        </w:rPr>
      </w:pPr>
    </w:p>
    <w:sectPr w:rsidR="00F84111" w:rsidRPr="007B09E5" w:rsidSect="00802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3D" w:rsidRDefault="0002303D" w:rsidP="007D7919">
      <w:r>
        <w:separator/>
      </w:r>
    </w:p>
  </w:endnote>
  <w:endnote w:type="continuationSeparator" w:id="0">
    <w:p w:rsidR="0002303D" w:rsidRDefault="0002303D" w:rsidP="007D79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3D" w:rsidRDefault="0002303D" w:rsidP="007D7919">
      <w:r>
        <w:separator/>
      </w:r>
    </w:p>
  </w:footnote>
  <w:footnote w:type="continuationSeparator" w:id="0">
    <w:p w:rsidR="0002303D" w:rsidRDefault="0002303D" w:rsidP="007D79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919"/>
    <w:rsid w:val="0002303D"/>
    <w:rsid w:val="00027601"/>
    <w:rsid w:val="000B05F3"/>
    <w:rsid w:val="001A2306"/>
    <w:rsid w:val="001A53FC"/>
    <w:rsid w:val="001A5E8B"/>
    <w:rsid w:val="001E1A98"/>
    <w:rsid w:val="00243D4F"/>
    <w:rsid w:val="0031279B"/>
    <w:rsid w:val="003A2376"/>
    <w:rsid w:val="003D2C46"/>
    <w:rsid w:val="00405552"/>
    <w:rsid w:val="004130F2"/>
    <w:rsid w:val="004831AA"/>
    <w:rsid w:val="004E71E9"/>
    <w:rsid w:val="0052141A"/>
    <w:rsid w:val="00582167"/>
    <w:rsid w:val="00597141"/>
    <w:rsid w:val="005B1E75"/>
    <w:rsid w:val="005F6C61"/>
    <w:rsid w:val="005F7627"/>
    <w:rsid w:val="00616B9F"/>
    <w:rsid w:val="0066309F"/>
    <w:rsid w:val="006B3187"/>
    <w:rsid w:val="006C5E26"/>
    <w:rsid w:val="006D6010"/>
    <w:rsid w:val="00702D45"/>
    <w:rsid w:val="00704F01"/>
    <w:rsid w:val="0072169A"/>
    <w:rsid w:val="00751EE2"/>
    <w:rsid w:val="0079440D"/>
    <w:rsid w:val="007B09E5"/>
    <w:rsid w:val="007B23F4"/>
    <w:rsid w:val="007D1CA4"/>
    <w:rsid w:val="007D7919"/>
    <w:rsid w:val="008025AA"/>
    <w:rsid w:val="00855431"/>
    <w:rsid w:val="008628C5"/>
    <w:rsid w:val="008758ED"/>
    <w:rsid w:val="00876FE7"/>
    <w:rsid w:val="008B5469"/>
    <w:rsid w:val="008B7D09"/>
    <w:rsid w:val="008D70F4"/>
    <w:rsid w:val="00911A79"/>
    <w:rsid w:val="009A6413"/>
    <w:rsid w:val="009E51F0"/>
    <w:rsid w:val="00A126C9"/>
    <w:rsid w:val="00A15258"/>
    <w:rsid w:val="00A40091"/>
    <w:rsid w:val="00A400B8"/>
    <w:rsid w:val="00A513E6"/>
    <w:rsid w:val="00B34927"/>
    <w:rsid w:val="00B537CE"/>
    <w:rsid w:val="00B65ABE"/>
    <w:rsid w:val="00B901D2"/>
    <w:rsid w:val="00BB37A1"/>
    <w:rsid w:val="00BD4E4D"/>
    <w:rsid w:val="00C46FA8"/>
    <w:rsid w:val="00C539AA"/>
    <w:rsid w:val="00C65359"/>
    <w:rsid w:val="00C75C68"/>
    <w:rsid w:val="00C818D5"/>
    <w:rsid w:val="00C857EF"/>
    <w:rsid w:val="00C96F05"/>
    <w:rsid w:val="00D1497E"/>
    <w:rsid w:val="00D61645"/>
    <w:rsid w:val="00D87703"/>
    <w:rsid w:val="00E350F3"/>
    <w:rsid w:val="00F123F9"/>
    <w:rsid w:val="00F42A8A"/>
    <w:rsid w:val="00F70527"/>
    <w:rsid w:val="00F720E0"/>
    <w:rsid w:val="00F75D0D"/>
    <w:rsid w:val="00F84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919"/>
    <w:rPr>
      <w:sz w:val="18"/>
      <w:szCs w:val="18"/>
    </w:rPr>
  </w:style>
  <w:style w:type="paragraph" w:styleId="a4">
    <w:name w:val="footer"/>
    <w:basedOn w:val="a"/>
    <w:link w:val="Char0"/>
    <w:uiPriority w:val="99"/>
    <w:unhideWhenUsed/>
    <w:rsid w:val="007D7919"/>
    <w:pPr>
      <w:tabs>
        <w:tab w:val="center" w:pos="4153"/>
        <w:tab w:val="right" w:pos="8306"/>
      </w:tabs>
      <w:snapToGrid w:val="0"/>
      <w:jc w:val="left"/>
    </w:pPr>
    <w:rPr>
      <w:sz w:val="18"/>
      <w:szCs w:val="18"/>
    </w:rPr>
  </w:style>
  <w:style w:type="character" w:customStyle="1" w:styleId="Char0">
    <w:name w:val="页脚 Char"/>
    <w:basedOn w:val="a0"/>
    <w:link w:val="a4"/>
    <w:uiPriority w:val="99"/>
    <w:rsid w:val="007D7919"/>
    <w:rPr>
      <w:sz w:val="18"/>
      <w:szCs w:val="18"/>
    </w:rPr>
  </w:style>
  <w:style w:type="paragraph" w:customStyle="1" w:styleId="Default">
    <w:name w:val="Default"/>
    <w:rsid w:val="00D61645"/>
    <w:pPr>
      <w:widowControl w:val="0"/>
      <w:autoSpaceDE w:val="0"/>
      <w:autoSpaceDN w:val="0"/>
      <w:adjustRightInd w:val="0"/>
    </w:pPr>
    <w:rPr>
      <w:rFonts w:ascii="宋体" w:hAnsi="宋体" w:cs="宋体"/>
      <w:color w:val="000000"/>
      <w:kern w:val="0"/>
      <w:sz w:val="24"/>
      <w:szCs w:val="24"/>
    </w:rPr>
  </w:style>
  <w:style w:type="paragraph" w:styleId="a5">
    <w:name w:val="Date"/>
    <w:basedOn w:val="a"/>
    <w:next w:val="a"/>
    <w:link w:val="Char1"/>
    <w:uiPriority w:val="99"/>
    <w:semiHidden/>
    <w:unhideWhenUsed/>
    <w:rsid w:val="00F84111"/>
    <w:pPr>
      <w:ind w:leftChars="2500" w:left="100"/>
    </w:pPr>
  </w:style>
  <w:style w:type="character" w:customStyle="1" w:styleId="Char1">
    <w:name w:val="日期 Char"/>
    <w:basedOn w:val="a0"/>
    <w:link w:val="a5"/>
    <w:uiPriority w:val="99"/>
    <w:semiHidden/>
    <w:rsid w:val="00F84111"/>
  </w:style>
  <w:style w:type="paragraph" w:styleId="a6">
    <w:name w:val="Balloon Text"/>
    <w:basedOn w:val="a"/>
    <w:link w:val="Char2"/>
    <w:uiPriority w:val="99"/>
    <w:semiHidden/>
    <w:unhideWhenUsed/>
    <w:rsid w:val="00BD4E4D"/>
    <w:rPr>
      <w:sz w:val="18"/>
      <w:szCs w:val="18"/>
    </w:rPr>
  </w:style>
  <w:style w:type="character" w:customStyle="1" w:styleId="Char2">
    <w:name w:val="批注框文本 Char"/>
    <w:basedOn w:val="a0"/>
    <w:link w:val="a6"/>
    <w:uiPriority w:val="99"/>
    <w:semiHidden/>
    <w:rsid w:val="00BD4E4D"/>
    <w:rPr>
      <w:sz w:val="18"/>
      <w:szCs w:val="18"/>
    </w:rPr>
  </w:style>
  <w:style w:type="character" w:styleId="a7">
    <w:name w:val="annotation reference"/>
    <w:basedOn w:val="a0"/>
    <w:uiPriority w:val="99"/>
    <w:semiHidden/>
    <w:unhideWhenUsed/>
    <w:rsid w:val="00616B9F"/>
    <w:rPr>
      <w:sz w:val="21"/>
      <w:szCs w:val="21"/>
    </w:rPr>
  </w:style>
  <w:style w:type="paragraph" w:styleId="a8">
    <w:name w:val="annotation text"/>
    <w:basedOn w:val="a"/>
    <w:link w:val="Char3"/>
    <w:uiPriority w:val="99"/>
    <w:semiHidden/>
    <w:unhideWhenUsed/>
    <w:rsid w:val="00616B9F"/>
    <w:pPr>
      <w:jc w:val="left"/>
    </w:pPr>
  </w:style>
  <w:style w:type="character" w:customStyle="1" w:styleId="Char3">
    <w:name w:val="批注文字 Char"/>
    <w:basedOn w:val="a0"/>
    <w:link w:val="a8"/>
    <w:uiPriority w:val="99"/>
    <w:semiHidden/>
    <w:rsid w:val="00616B9F"/>
  </w:style>
  <w:style w:type="paragraph" w:styleId="a9">
    <w:name w:val="annotation subject"/>
    <w:basedOn w:val="a8"/>
    <w:next w:val="a8"/>
    <w:link w:val="Char4"/>
    <w:uiPriority w:val="99"/>
    <w:semiHidden/>
    <w:unhideWhenUsed/>
    <w:rsid w:val="00616B9F"/>
    <w:rPr>
      <w:b/>
      <w:bCs/>
    </w:rPr>
  </w:style>
  <w:style w:type="character" w:customStyle="1" w:styleId="Char4">
    <w:name w:val="批注主题 Char"/>
    <w:basedOn w:val="Char3"/>
    <w:link w:val="a9"/>
    <w:uiPriority w:val="99"/>
    <w:semiHidden/>
    <w:rsid w:val="00616B9F"/>
    <w:rPr>
      <w:b/>
      <w:bCs/>
    </w:rPr>
  </w:style>
</w:styles>
</file>

<file path=word/webSettings.xml><?xml version="1.0" encoding="utf-8"?>
<w:webSettings xmlns:r="http://schemas.openxmlformats.org/officeDocument/2006/relationships" xmlns:w="http://schemas.openxmlformats.org/wordprocessingml/2006/main">
  <w:divs>
    <w:div w:id="673841374">
      <w:bodyDiv w:val="1"/>
      <w:marLeft w:val="0"/>
      <w:marRight w:val="0"/>
      <w:marTop w:val="0"/>
      <w:marBottom w:val="0"/>
      <w:divBdr>
        <w:top w:val="none" w:sz="0" w:space="0" w:color="auto"/>
        <w:left w:val="none" w:sz="0" w:space="0" w:color="auto"/>
        <w:bottom w:val="none" w:sz="0" w:space="0" w:color="auto"/>
        <w:right w:val="none" w:sz="0" w:space="0" w:color="auto"/>
      </w:divBdr>
    </w:div>
    <w:div w:id="803154740">
      <w:bodyDiv w:val="1"/>
      <w:marLeft w:val="0"/>
      <w:marRight w:val="0"/>
      <w:marTop w:val="0"/>
      <w:marBottom w:val="0"/>
      <w:divBdr>
        <w:top w:val="none" w:sz="0" w:space="0" w:color="auto"/>
        <w:left w:val="none" w:sz="0" w:space="0" w:color="auto"/>
        <w:bottom w:val="none" w:sz="0" w:space="0" w:color="auto"/>
        <w:right w:val="none" w:sz="0" w:space="0" w:color="auto"/>
      </w:divBdr>
    </w:div>
    <w:div w:id="1756393734">
      <w:bodyDiv w:val="1"/>
      <w:marLeft w:val="0"/>
      <w:marRight w:val="0"/>
      <w:marTop w:val="0"/>
      <w:marBottom w:val="0"/>
      <w:divBdr>
        <w:top w:val="none" w:sz="0" w:space="0" w:color="auto"/>
        <w:left w:val="none" w:sz="0" w:space="0" w:color="auto"/>
        <w:bottom w:val="none" w:sz="0" w:space="0" w:color="auto"/>
        <w:right w:val="none" w:sz="0" w:space="0" w:color="auto"/>
      </w:divBdr>
    </w:div>
    <w:div w:id="20633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1598</Characters>
  <Application>Microsoft Office Word</Application>
  <DocSecurity>4</DocSecurity>
  <Lines>13</Lines>
  <Paragraphs>3</Paragraphs>
  <ScaleCrop>false</ScaleCrop>
  <Company>Microsoft</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dc:creator>
  <cp:lastModifiedBy>ZHONGM</cp:lastModifiedBy>
  <cp:revision>2</cp:revision>
  <dcterms:created xsi:type="dcterms:W3CDTF">2024-03-26T16:03:00Z</dcterms:created>
  <dcterms:modified xsi:type="dcterms:W3CDTF">2024-03-26T16:03:00Z</dcterms:modified>
</cp:coreProperties>
</file>