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0" w:rsidRPr="00DD1795" w:rsidRDefault="00FD1AC0" w:rsidP="001B7A82">
      <w:pPr>
        <w:widowControl w:val="0"/>
        <w:spacing w:line="360" w:lineRule="auto"/>
        <w:jc w:val="center"/>
        <w:rPr>
          <w:rFonts w:asciiTheme="minorEastAsia" w:eastAsiaTheme="minorEastAsia" w:hAnsiTheme="minorEastAsia"/>
          <w:szCs w:val="48"/>
        </w:rPr>
      </w:pPr>
      <w:r w:rsidRPr="00DD1795">
        <w:rPr>
          <w:rFonts w:asciiTheme="minorEastAsia" w:eastAsiaTheme="minorEastAsia" w:hAnsiTheme="minorEastAsia" w:cs="宋体" w:hint="eastAsia"/>
          <w:b/>
          <w:bCs/>
          <w:szCs w:val="48"/>
        </w:rPr>
        <w:t>鹏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华基金管理有限公司关于旗下部分基金2024年3月29日、4月1日因非港股通交易日暂停申购、赎回、转换及定期定额投资业务的提示性公告</w:t>
      </w:r>
    </w:p>
    <w:p w:rsidR="000E4E52" w:rsidRPr="00DD1795" w:rsidRDefault="000E4E52" w:rsidP="00B66560">
      <w:pPr>
        <w:widowControl w:val="0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</w:p>
    <w:p w:rsidR="00B66560" w:rsidRPr="00AF5F00" w:rsidRDefault="00FD1AC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为了保护持有人利益，保障基金平稳运作，根据《公开募集证券投资基金运作管理办法》、《公开募集证券投资基金信息披露管理办法》、《</w:t>
      </w:r>
      <w:r w:rsidR="00D654C1" w:rsidRPr="00D654C1">
        <w:rPr>
          <w:rFonts w:asciiTheme="minorEastAsia" w:eastAsiaTheme="minorEastAsia" w:hAnsiTheme="minorEastAsia" w:cs="宋体" w:hint="eastAsia"/>
          <w:sz w:val="21"/>
          <w:szCs w:val="21"/>
        </w:rPr>
        <w:t>关于2023年岁末及2024年沪港通下港股通交易日安排的通知</w:t>
      </w: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》</w:t>
      </w:r>
      <w:r w:rsidR="00CB6BFC" w:rsidRPr="00DD1795">
        <w:rPr>
          <w:rFonts w:asciiTheme="minorEastAsia" w:eastAsiaTheme="minorEastAsia" w:hAnsiTheme="minorEastAsia" w:cs="宋体" w:hint="eastAsia"/>
          <w:sz w:val="21"/>
          <w:szCs w:val="21"/>
        </w:rPr>
        <w:t>、</w:t>
      </w:r>
      <w:r w:rsidR="00CB6BFC" w:rsidRPr="00DD1795">
        <w:rPr>
          <w:rFonts w:asciiTheme="minorEastAsia" w:eastAsiaTheme="minorEastAsia" w:hAnsiTheme="minorEastAsia" w:cs="宋体"/>
          <w:sz w:val="21"/>
          <w:szCs w:val="21"/>
        </w:rPr>
        <w:t>《</w:t>
      </w:r>
      <w:r w:rsidR="00D654C1" w:rsidRPr="00D654C1">
        <w:rPr>
          <w:rFonts w:asciiTheme="minorEastAsia" w:eastAsiaTheme="minorEastAsia" w:hAnsiTheme="minorEastAsia" w:cs="宋体" w:hint="eastAsia"/>
          <w:sz w:val="21"/>
          <w:szCs w:val="21"/>
        </w:rPr>
        <w:t>关于2023年底及2024年深港通下的港股通交易日有关安排的通知</w:t>
      </w:r>
      <w:r w:rsidR="00CB6BFC" w:rsidRPr="00DD1795">
        <w:rPr>
          <w:rFonts w:asciiTheme="minorEastAsia" w:eastAsiaTheme="minorEastAsia" w:hAnsiTheme="minorEastAsia" w:cs="宋体"/>
          <w:sz w:val="21"/>
          <w:szCs w:val="21"/>
        </w:rPr>
        <w:t>》</w:t>
      </w: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相关规定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以及鹏华基金管理有限公司（以下简称</w:t>
      </w:r>
      <w:r w:rsidRPr="00AF5F00">
        <w:rPr>
          <w:rFonts w:asciiTheme="minorEastAsia" w:eastAsiaTheme="minorEastAsia" w:hAnsiTheme="minorEastAsia"/>
          <w:sz w:val="21"/>
          <w:szCs w:val="21"/>
        </w:rPr>
        <w:t>“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</w:t>
      </w:r>
      <w:r w:rsidRPr="00AF5F00">
        <w:rPr>
          <w:rFonts w:asciiTheme="minorEastAsia" w:eastAsiaTheme="minorEastAsia" w:hAnsiTheme="minorEastAsia"/>
          <w:sz w:val="21"/>
          <w:szCs w:val="21"/>
        </w:rPr>
        <w:t>”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）旗下基金的</w:t>
      </w:r>
      <w:bookmarkStart w:id="0" w:name="_GoBack"/>
      <w:bookmarkEnd w:id="0"/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基金合同约定，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因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3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29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（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星期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五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）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至202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1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（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星期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一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）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为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非港股通交易日，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本公司决定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对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本公司旗下部分基金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于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上述日期暂停办理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申购、赎回、转换及定期定额投资业务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（具体业务类型和开放状态以各基金实际情况为准）</w:t>
      </w:r>
      <w:bookmarkStart w:id="1" w:name="t_3_1_1_table"/>
      <w:bookmarkEnd w:id="1"/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，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并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自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015547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（星期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二</w:t>
      </w:r>
      <w:r w:rsidR="00015547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）</w:t>
      </w:r>
      <w:r w:rsidR="00015547" w:rsidRPr="00AF5F00">
        <w:rPr>
          <w:rFonts w:asciiTheme="minorEastAsia" w:eastAsiaTheme="minorEastAsia" w:hAnsiTheme="minorEastAsia" w:cs="宋体"/>
          <w:sz w:val="21"/>
          <w:szCs w:val="21"/>
        </w:rPr>
        <w:t>起恢复办理上述业务</w:t>
      </w:r>
      <w:r w:rsidR="00015547" w:rsidRPr="00AF5F00">
        <w:rPr>
          <w:rFonts w:asciiTheme="minorEastAsia" w:eastAsiaTheme="minorEastAsia" w:hAnsiTheme="minorEastAsia" w:cs="宋体" w:hint="eastAsia"/>
          <w:sz w:val="21"/>
          <w:szCs w:val="21"/>
        </w:rPr>
        <w:t>，届时</w:t>
      </w:r>
      <w:r w:rsidR="00015547" w:rsidRPr="00AF5F00">
        <w:rPr>
          <w:rFonts w:asciiTheme="minorEastAsia" w:eastAsiaTheme="minorEastAsia" w:hAnsiTheme="minorEastAsia" w:cs="宋体"/>
          <w:sz w:val="21"/>
          <w:szCs w:val="21"/>
        </w:rPr>
        <w:t>不再另行公告。</w:t>
      </w:r>
    </w:p>
    <w:p w:rsidR="00FD1AC0" w:rsidRPr="00AF5F00" w:rsidRDefault="00D878F5" w:rsidP="00FD1AC0">
      <w:pPr>
        <w:widowControl w:val="0"/>
        <w:rPr>
          <w:rFonts w:asciiTheme="minorEastAsia" w:eastAsiaTheme="minorEastAsia" w:hAnsiTheme="minorEastAsia"/>
          <w:b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b/>
          <w:sz w:val="21"/>
          <w:szCs w:val="21"/>
        </w:rPr>
        <w:t>一</w:t>
      </w:r>
      <w:r w:rsidRPr="00AF5F00">
        <w:rPr>
          <w:rFonts w:asciiTheme="minorEastAsia" w:eastAsiaTheme="minorEastAsia" w:hAnsiTheme="minorEastAsia"/>
          <w:b/>
          <w:sz w:val="21"/>
          <w:szCs w:val="21"/>
        </w:rPr>
        <w:t>、</w:t>
      </w:r>
      <w:r w:rsidR="00015547" w:rsidRPr="00AF5F00">
        <w:rPr>
          <w:rFonts w:asciiTheme="minorEastAsia" w:eastAsiaTheme="minorEastAsia" w:hAnsiTheme="minorEastAsia" w:hint="eastAsia"/>
          <w:b/>
          <w:sz w:val="21"/>
          <w:szCs w:val="21"/>
        </w:rPr>
        <w:t>适用</w:t>
      </w:r>
      <w:r w:rsidR="00015547" w:rsidRPr="00AF5F00">
        <w:rPr>
          <w:rFonts w:asciiTheme="minorEastAsia" w:eastAsiaTheme="minorEastAsia" w:hAnsiTheme="minorEastAsia"/>
          <w:b/>
          <w:sz w:val="21"/>
          <w:szCs w:val="21"/>
        </w:rPr>
        <w:t>基金</w:t>
      </w:r>
      <w:r w:rsidR="00015547" w:rsidRPr="00AF5F00">
        <w:rPr>
          <w:rFonts w:asciiTheme="minorEastAsia" w:eastAsiaTheme="minorEastAsia" w:hAnsiTheme="minorEastAsia" w:hint="eastAsia"/>
          <w:b/>
          <w:sz w:val="21"/>
          <w:szCs w:val="21"/>
        </w:rPr>
        <w:t>如下</w:t>
      </w:r>
      <w:r w:rsidR="00015547" w:rsidRPr="00AF5F00">
        <w:rPr>
          <w:rFonts w:asciiTheme="minorEastAsia" w:eastAsiaTheme="minorEastAsia" w:hAnsiTheme="minorEastAsia"/>
          <w:b/>
          <w:sz w:val="21"/>
          <w:szCs w:val="21"/>
        </w:rPr>
        <w:t>：</w:t>
      </w:r>
    </w:p>
    <w:tbl>
      <w:tblPr>
        <w:tblW w:w="9923" w:type="dxa"/>
        <w:tblInd w:w="-344" w:type="dxa"/>
        <w:tblCellMar>
          <w:left w:w="0" w:type="dxa"/>
          <w:right w:w="0" w:type="dxa"/>
        </w:tblCellMar>
        <w:tblLook w:val="04A0"/>
      </w:tblPr>
      <w:tblGrid>
        <w:gridCol w:w="861"/>
        <w:gridCol w:w="1550"/>
        <w:gridCol w:w="4252"/>
        <w:gridCol w:w="3260"/>
      </w:tblGrid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暂停办理的业务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A类501025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C类010365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鹏华港股通中证香港银行投资指数证券投资基金（LOF）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004292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鹏华沪深港互联网股票型证券投资基金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A类160646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类012809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鹏华中证沪港深科技龙头指数证券投资基金（LOF）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类006296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Y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类017380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鹏华养老目标日期2035三年持有期混合型基金中基金（FOF）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005967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鹏华创新驱动混合型证券投资基金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006230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鹏华研究驱动混合型证券投资基金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Default="00F646AD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</w:t>
            </w:r>
            <w:r w:rsidR="008C7B7F"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005812</w:t>
            </w:r>
          </w:p>
          <w:p w:rsidR="00F646AD" w:rsidRPr="00AF5F00" w:rsidRDefault="00F646AD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类019776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鹏华产业精选灵活配置混合型证券投资基金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类006526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类012997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鹏华优选回报灵活配置混合型证券投资基金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类006976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类017732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鹏华核心优势混合型证券投资基金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008811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鹏华科技创新混合型证券投资基金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008132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鹏华价值驱动混合型证券投资基金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A类016952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C类016953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鹏华中证港股通消费主题交易型开放式指数证券投资基金联接基金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、赎回、定期定额投资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513590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鹏华中证港股通消费主题交易型开放式指数证券投资基金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513700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鹏华中证港股通医药卫生综合交易型开放式指数证券投资基金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="宋体" w:hAnsi="宋体"/>
                <w:sz w:val="21"/>
                <w:szCs w:val="21"/>
              </w:rPr>
              <w:t>159751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="宋体" w:hAnsi="宋体" w:cs="宋体" w:hint="eastAsia"/>
                <w:sz w:val="21"/>
                <w:szCs w:val="21"/>
              </w:rPr>
              <w:t>鹏华中证港股通科技交易型开放式指数证券投资基金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</w:tbl>
    <w:p w:rsidR="00015547" w:rsidRPr="00AF5F00" w:rsidRDefault="00015547" w:rsidP="00FD1AC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D878F5" w:rsidP="00DD1795">
      <w:pPr>
        <w:widowControl w:val="0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b/>
          <w:sz w:val="21"/>
          <w:szCs w:val="21"/>
        </w:rPr>
        <w:t>二</w:t>
      </w:r>
      <w:r w:rsidRPr="00AF5F00">
        <w:rPr>
          <w:rFonts w:asciiTheme="minorEastAsia" w:eastAsiaTheme="minorEastAsia" w:hAnsiTheme="minorEastAsia"/>
          <w:b/>
          <w:sz w:val="21"/>
          <w:szCs w:val="21"/>
        </w:rPr>
        <w:t>、</w:t>
      </w:r>
      <w:r w:rsidR="00B66560" w:rsidRPr="00AF5F00">
        <w:rPr>
          <w:rFonts w:asciiTheme="minorEastAsia" w:eastAsiaTheme="minorEastAsia" w:hAnsiTheme="minorEastAsia"/>
          <w:b/>
          <w:sz w:val="21"/>
          <w:szCs w:val="21"/>
        </w:rPr>
        <w:t>其他需要提示的事项</w:t>
      </w:r>
    </w:p>
    <w:p w:rsidR="001B7A82" w:rsidRPr="00AF5F00" w:rsidRDefault="00D878F5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1、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上述</w:t>
      </w:r>
      <w:r w:rsidRPr="00AF5F00">
        <w:rPr>
          <w:rFonts w:asciiTheme="minorEastAsia" w:eastAsiaTheme="minorEastAsia" w:hAnsiTheme="minorEastAsia"/>
          <w:sz w:val="21"/>
          <w:szCs w:val="21"/>
        </w:rPr>
        <w:t>基金是否开通申购、赎回、转换和定期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定额</w:t>
      </w:r>
      <w:r w:rsidRPr="00AF5F00">
        <w:rPr>
          <w:rFonts w:asciiTheme="minorEastAsia" w:eastAsiaTheme="minorEastAsia" w:hAnsiTheme="minorEastAsia"/>
          <w:sz w:val="21"/>
          <w:szCs w:val="21"/>
        </w:rPr>
        <w:t>投资业务，详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见</w:t>
      </w:r>
      <w:r w:rsidR="003921EB" w:rsidRPr="00AF5F00">
        <w:rPr>
          <w:rFonts w:asciiTheme="minorEastAsia" w:eastAsiaTheme="minorEastAsia" w:hAnsiTheme="minorEastAsia" w:hint="eastAsia"/>
          <w:sz w:val="21"/>
          <w:szCs w:val="21"/>
        </w:rPr>
        <w:t>本公司</w:t>
      </w:r>
      <w:r w:rsidRPr="00AF5F00">
        <w:rPr>
          <w:rFonts w:asciiTheme="minorEastAsia" w:eastAsiaTheme="minorEastAsia" w:hAnsiTheme="minorEastAsia"/>
          <w:sz w:val="21"/>
          <w:szCs w:val="21"/>
        </w:rPr>
        <w:t>发布的相关公告；</w:t>
      </w:r>
    </w:p>
    <w:p w:rsidR="00D878F5" w:rsidRPr="00AF5F00" w:rsidRDefault="001B7A82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2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、上述部分</w:t>
      </w:r>
      <w:r w:rsidRPr="00AF5F00">
        <w:rPr>
          <w:rFonts w:asciiTheme="minorEastAsia" w:eastAsiaTheme="minorEastAsia" w:hAnsiTheme="minorEastAsia"/>
          <w:sz w:val="21"/>
          <w:szCs w:val="21"/>
        </w:rPr>
        <w:t>基金如有在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上海证券交易所或深圳证券交易所上市</w:t>
      </w:r>
      <w:r w:rsidRPr="00AF5F00">
        <w:rPr>
          <w:rFonts w:asciiTheme="minorEastAsia" w:eastAsiaTheme="minorEastAsia" w:hAnsiTheme="minorEastAsia"/>
          <w:sz w:val="21"/>
          <w:szCs w:val="21"/>
        </w:rPr>
        <w:t>交易，则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在上海证券交易所、深圳证券交易所</w:t>
      </w:r>
      <w:r w:rsidR="0076318F" w:rsidRPr="00AF5F00">
        <w:rPr>
          <w:rFonts w:asciiTheme="minorEastAsia" w:eastAsiaTheme="minorEastAsia" w:hAnsiTheme="minorEastAsia" w:hint="eastAsia"/>
          <w:sz w:val="21"/>
          <w:szCs w:val="21"/>
        </w:rPr>
        <w:t>正常交易日的交易时间投资者仍可进行二级市场交易；</w:t>
      </w:r>
    </w:p>
    <w:p w:rsidR="00D878F5" w:rsidRPr="00AF5F00" w:rsidRDefault="001B7A82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3</w:t>
      </w:r>
      <w:r w:rsidR="00D878F5" w:rsidRPr="00AF5F00">
        <w:rPr>
          <w:rFonts w:asciiTheme="minorEastAsia" w:eastAsiaTheme="minorEastAsia" w:hAnsiTheme="minorEastAsia" w:hint="eastAsia"/>
          <w:sz w:val="21"/>
          <w:szCs w:val="21"/>
        </w:rPr>
        <w:t>、本公告主要为非港股通交易日暂停及后续恢复相关业务的说明，如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遇上述基金因其他原因暂停相关业务的，具体业务办理以相关公告为准。</w:t>
      </w: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投资者可登录本基金管理人网站（www.phfund.com</w:t>
      </w:r>
      <w:r w:rsidR="004C73CD" w:rsidRPr="00AF5F00">
        <w:rPr>
          <w:rFonts w:asciiTheme="minorEastAsia" w:eastAsiaTheme="minorEastAsia" w:hAnsiTheme="minorEastAsia"/>
          <w:sz w:val="21"/>
          <w:szCs w:val="21"/>
        </w:rPr>
        <w:t>.cn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），或拨打客户服务电话（400-6788-533）咨询相关信息。</w:t>
      </w:r>
    </w:p>
    <w:p w:rsidR="00D878F5" w:rsidRPr="00AF5F00" w:rsidRDefault="00D878F5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</w:t>
      </w:r>
      <w:r w:rsidR="00563BD8" w:rsidRPr="00563BD8">
        <w:rPr>
          <w:rFonts w:asciiTheme="minorEastAsia" w:eastAsiaTheme="minorEastAsia" w:hAnsiTheme="minorEastAsia" w:hint="eastAsia"/>
          <w:sz w:val="21"/>
          <w:szCs w:val="21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投资者投资于本基金前应认真阅读基金的基金合同、招募说明书（更新）、基金产品资料概要（更新）等文件，并根据自身风险承受能力选择适合自己的基金产品。</w:t>
      </w: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特此公告。</w:t>
      </w:r>
    </w:p>
    <w:p w:rsidR="00B66560" w:rsidRPr="00AF5F00" w:rsidRDefault="00B66560" w:rsidP="00B6656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B66560" w:rsidP="00B6656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cs="宋体"/>
          <w:sz w:val="21"/>
          <w:szCs w:val="21"/>
        </w:rPr>
        <w:t>鹏华基金管理有限公司</w:t>
      </w:r>
    </w:p>
    <w:p w:rsidR="00B66560" w:rsidRPr="00DD1795" w:rsidRDefault="008C7B7F" w:rsidP="00B6656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cs="宋体"/>
          <w:sz w:val="21"/>
          <w:szCs w:val="21"/>
        </w:rPr>
        <w:t>202</w:t>
      </w:r>
      <w:r w:rsidR="00AF5F00" w:rsidRPr="00AF5F00">
        <w:rPr>
          <w:rFonts w:asciiTheme="minorEastAsia" w:eastAsiaTheme="minorEastAsia" w:hAnsiTheme="minorEastAsia" w:cs="宋体" w:hint="eastAsia"/>
          <w:sz w:val="21"/>
          <w:szCs w:val="21"/>
        </w:rPr>
        <w:t>4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年</w:t>
      </w:r>
      <w:r w:rsidR="00AF5F00" w:rsidRPr="00AF5F00">
        <w:rPr>
          <w:rFonts w:asciiTheme="minorEastAsia" w:eastAsiaTheme="minorEastAsia" w:hAnsiTheme="minorEastAsia" w:cs="宋体" w:hint="eastAsia"/>
          <w:sz w:val="21"/>
          <w:szCs w:val="21"/>
        </w:rPr>
        <w:t>3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月</w:t>
      </w:r>
      <w:r w:rsidR="00AF5F00" w:rsidRPr="00AF5F00">
        <w:rPr>
          <w:rFonts w:asciiTheme="minorEastAsia" w:eastAsiaTheme="minorEastAsia" w:hAnsiTheme="minorEastAsia" w:cs="宋体" w:hint="eastAsia"/>
          <w:sz w:val="21"/>
          <w:szCs w:val="21"/>
        </w:rPr>
        <w:t>27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日</w:t>
      </w:r>
    </w:p>
    <w:p w:rsidR="00B66560" w:rsidRPr="00DD1795" w:rsidRDefault="00B66560" w:rsidP="00FD1AC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sectPr w:rsidR="00B66560" w:rsidRPr="00DD1795" w:rsidSect="00A76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A9" w:rsidRDefault="00193DA9" w:rsidP="00FD1AC0">
      <w:r>
        <w:separator/>
      </w:r>
    </w:p>
  </w:endnote>
  <w:endnote w:type="continuationSeparator" w:id="0">
    <w:p w:rsidR="00193DA9" w:rsidRDefault="00193DA9" w:rsidP="00FD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A9" w:rsidRDefault="00193DA9" w:rsidP="00FD1AC0">
      <w:r>
        <w:separator/>
      </w:r>
    </w:p>
  </w:footnote>
  <w:footnote w:type="continuationSeparator" w:id="0">
    <w:p w:rsidR="00193DA9" w:rsidRDefault="00193DA9" w:rsidP="00FD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872"/>
    <w:rsid w:val="00015547"/>
    <w:rsid w:val="000B1F9E"/>
    <w:rsid w:val="000E4E52"/>
    <w:rsid w:val="00193DA9"/>
    <w:rsid w:val="001B7A82"/>
    <w:rsid w:val="002A780E"/>
    <w:rsid w:val="002B4B6E"/>
    <w:rsid w:val="002F5DA1"/>
    <w:rsid w:val="00373872"/>
    <w:rsid w:val="003921EB"/>
    <w:rsid w:val="004C73CD"/>
    <w:rsid w:val="004F0094"/>
    <w:rsid w:val="00515FB0"/>
    <w:rsid w:val="005203A0"/>
    <w:rsid w:val="00563BD8"/>
    <w:rsid w:val="00575C29"/>
    <w:rsid w:val="006111F0"/>
    <w:rsid w:val="0066205D"/>
    <w:rsid w:val="006F7E3D"/>
    <w:rsid w:val="007239B4"/>
    <w:rsid w:val="0076318F"/>
    <w:rsid w:val="007762F9"/>
    <w:rsid w:val="007A0992"/>
    <w:rsid w:val="00814D49"/>
    <w:rsid w:val="008B3E71"/>
    <w:rsid w:val="008C7B7F"/>
    <w:rsid w:val="00961E8A"/>
    <w:rsid w:val="00A104AA"/>
    <w:rsid w:val="00A157C2"/>
    <w:rsid w:val="00A175DA"/>
    <w:rsid w:val="00A71606"/>
    <w:rsid w:val="00A76449"/>
    <w:rsid w:val="00AC6472"/>
    <w:rsid w:val="00AF5F00"/>
    <w:rsid w:val="00B02252"/>
    <w:rsid w:val="00B42C4B"/>
    <w:rsid w:val="00B66560"/>
    <w:rsid w:val="00BB7EB5"/>
    <w:rsid w:val="00C4031B"/>
    <w:rsid w:val="00CB6BFC"/>
    <w:rsid w:val="00D654C1"/>
    <w:rsid w:val="00D878F5"/>
    <w:rsid w:val="00DD1795"/>
    <w:rsid w:val="00E73194"/>
    <w:rsid w:val="00F3607A"/>
    <w:rsid w:val="00F40E26"/>
    <w:rsid w:val="00F646AD"/>
    <w:rsid w:val="00F67002"/>
    <w:rsid w:val="00FA722E"/>
    <w:rsid w:val="00FB388B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0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FD1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A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AC0"/>
    <w:rPr>
      <w:sz w:val="18"/>
      <w:szCs w:val="18"/>
    </w:rPr>
  </w:style>
  <w:style w:type="character" w:customStyle="1" w:styleId="2Char">
    <w:name w:val="标题 2 Char"/>
    <w:basedOn w:val="a0"/>
    <w:link w:val="2"/>
    <w:rsid w:val="00FD1AC0"/>
    <w:rPr>
      <w:rFonts w:ascii="Arial" w:eastAsia="宋体" w:hAnsi="Arial" w:cs="Arial"/>
      <w:b/>
      <w:bCs/>
      <w:i/>
      <w:iCs/>
      <w:kern w:val="0"/>
      <w:sz w:val="28"/>
      <w:szCs w:val="28"/>
    </w:rPr>
  </w:style>
  <w:style w:type="table" w:styleId="a5">
    <w:name w:val="Table Grid"/>
    <w:basedOn w:val="a1"/>
    <w:uiPriority w:val="39"/>
    <w:rsid w:val="00F4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42C4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42C4B"/>
  </w:style>
  <w:style w:type="character" w:customStyle="1" w:styleId="Char1">
    <w:name w:val="批注文字 Char"/>
    <w:basedOn w:val="a0"/>
    <w:link w:val="a7"/>
    <w:uiPriority w:val="99"/>
    <w:semiHidden/>
    <w:rsid w:val="00B42C4B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42C4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42C4B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42C4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42C4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4</DocSecurity>
  <Lines>11</Lines>
  <Paragraphs>3</Paragraphs>
  <ScaleCrop>false</ScaleCrop>
  <Company>PHFUND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2024-03-26T16:04:00Z</dcterms:created>
  <dcterms:modified xsi:type="dcterms:W3CDTF">2024-03-26T16:04:00Z</dcterms:modified>
</cp:coreProperties>
</file>