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C6" w:rsidRPr="00D512DE" w:rsidRDefault="004C1612" w:rsidP="00BF3A0B">
      <w:pPr>
        <w:spacing w:before="240" w:line="480" w:lineRule="auto"/>
        <w:jc w:val="center"/>
        <w:rPr>
          <w:rFonts w:asciiTheme="minorEastAsia" w:hAnsiTheme="minorEastAsia" w:cs="Arial"/>
          <w:b/>
          <w:kern w:val="0"/>
          <w:sz w:val="28"/>
          <w:szCs w:val="28"/>
          <w:bdr w:val="none" w:sz="0" w:space="0" w:color="auto" w:frame="1"/>
        </w:rPr>
      </w:pPr>
      <w:r w:rsidRPr="00D512DE">
        <w:rPr>
          <w:rFonts w:asciiTheme="minorEastAsia" w:hAnsiTheme="minorEastAsia" w:cs="Arial"/>
          <w:b/>
          <w:kern w:val="0"/>
          <w:sz w:val="28"/>
          <w:szCs w:val="28"/>
          <w:bdr w:val="none" w:sz="0" w:space="0" w:color="auto" w:frame="1"/>
        </w:rPr>
        <w:t>关于华宝现金宝</w:t>
      </w:r>
      <w:r w:rsidR="008A0F2C" w:rsidRPr="00D512DE">
        <w:rPr>
          <w:rFonts w:asciiTheme="minorEastAsia" w:hAnsiTheme="minorEastAsia" w:cs="Arial" w:hint="eastAsia"/>
          <w:b/>
          <w:kern w:val="0"/>
          <w:sz w:val="28"/>
          <w:szCs w:val="28"/>
          <w:bdr w:val="none" w:sz="0" w:space="0" w:color="auto" w:frame="1"/>
        </w:rPr>
        <w:t>货币</w:t>
      </w:r>
      <w:r w:rsidRPr="00D512DE">
        <w:rPr>
          <w:rFonts w:asciiTheme="minorEastAsia" w:hAnsiTheme="minorEastAsia" w:cs="Arial"/>
          <w:b/>
          <w:kern w:val="0"/>
          <w:sz w:val="28"/>
          <w:szCs w:val="28"/>
          <w:bdr w:val="none" w:sz="0" w:space="0" w:color="auto" w:frame="1"/>
        </w:rPr>
        <w:t>基金</w:t>
      </w:r>
      <w:r w:rsidR="00A17029" w:rsidRPr="00D512DE">
        <w:rPr>
          <w:rFonts w:asciiTheme="minorEastAsia" w:hAnsiTheme="minorEastAsia" w:cs="Arial" w:hint="eastAsia"/>
          <w:b/>
          <w:kern w:val="0"/>
          <w:sz w:val="28"/>
          <w:szCs w:val="28"/>
          <w:bdr w:val="none" w:sz="0" w:space="0" w:color="auto" w:frame="1"/>
        </w:rPr>
        <w:t>E类份额</w:t>
      </w:r>
      <w:r w:rsidRPr="00D512DE">
        <w:rPr>
          <w:rFonts w:asciiTheme="minorEastAsia" w:hAnsiTheme="minorEastAsia" w:cs="Arial" w:hint="eastAsia"/>
          <w:b/>
          <w:kern w:val="0"/>
          <w:sz w:val="28"/>
          <w:szCs w:val="28"/>
          <w:bdr w:val="none" w:sz="0" w:space="0" w:color="auto" w:frame="1"/>
        </w:rPr>
        <w:t>转换、</w:t>
      </w:r>
      <w:r w:rsidRPr="00D512DE">
        <w:rPr>
          <w:rFonts w:asciiTheme="minorEastAsia" w:hAnsiTheme="minorEastAsia" w:cs="Arial"/>
          <w:b/>
          <w:kern w:val="0"/>
          <w:sz w:val="28"/>
          <w:szCs w:val="28"/>
          <w:bdr w:val="none" w:sz="0" w:space="0" w:color="auto" w:frame="1"/>
        </w:rPr>
        <w:t>赎回转申购</w:t>
      </w:r>
      <w:r w:rsidR="0028344E" w:rsidRPr="00D512DE">
        <w:rPr>
          <w:rFonts w:asciiTheme="minorEastAsia" w:hAnsiTheme="minorEastAsia" w:cs="Arial" w:hint="eastAsia"/>
          <w:b/>
          <w:kern w:val="0"/>
          <w:sz w:val="28"/>
          <w:szCs w:val="28"/>
          <w:bdr w:val="none" w:sz="0" w:space="0" w:color="auto" w:frame="1"/>
        </w:rPr>
        <w:t>、定期转换、定期</w:t>
      </w:r>
      <w:r w:rsidR="0028344E" w:rsidRPr="00D512DE">
        <w:rPr>
          <w:rFonts w:asciiTheme="minorEastAsia" w:hAnsiTheme="minorEastAsia" w:cs="Arial"/>
          <w:b/>
          <w:kern w:val="0"/>
          <w:sz w:val="28"/>
          <w:szCs w:val="28"/>
          <w:bdr w:val="none" w:sz="0" w:space="0" w:color="auto" w:frame="1"/>
        </w:rPr>
        <w:t>赎回转申购</w:t>
      </w:r>
      <w:r w:rsidRPr="00D512DE">
        <w:rPr>
          <w:rFonts w:asciiTheme="minorEastAsia" w:hAnsiTheme="minorEastAsia" w:cs="Arial"/>
          <w:b/>
          <w:kern w:val="0"/>
          <w:sz w:val="28"/>
          <w:szCs w:val="28"/>
          <w:bdr w:val="none" w:sz="0" w:space="0" w:color="auto" w:frame="1"/>
        </w:rPr>
        <w:t>业务费率优惠公告</w:t>
      </w:r>
    </w:p>
    <w:p w:rsidR="00F91650" w:rsidRPr="00D512DE" w:rsidRDefault="004C1612" w:rsidP="00BF3A0B">
      <w:pPr>
        <w:spacing w:before="240" w:line="480" w:lineRule="auto"/>
        <w:jc w:val="center"/>
        <w:rPr>
          <w:rFonts w:ascii="宋体" w:hAnsi="宋体"/>
          <w:b/>
          <w:szCs w:val="21"/>
        </w:rPr>
      </w:pPr>
      <w:r w:rsidRPr="00D512DE">
        <w:rPr>
          <w:rFonts w:ascii="宋体" w:hAnsi="宋体" w:hint="eastAsia"/>
          <w:b/>
          <w:szCs w:val="21"/>
        </w:rPr>
        <w:t>公告</w:t>
      </w:r>
      <w:r w:rsidRPr="00D512DE">
        <w:rPr>
          <w:rFonts w:ascii="宋体" w:hAnsi="宋体"/>
          <w:b/>
          <w:szCs w:val="21"/>
        </w:rPr>
        <w:t>送出日期：</w:t>
      </w:r>
      <w:r w:rsidRPr="00D512DE">
        <w:rPr>
          <w:rFonts w:ascii="宋体" w:hAnsi="宋体"/>
          <w:b/>
          <w:szCs w:val="21"/>
        </w:rPr>
        <w:t>20</w:t>
      </w:r>
      <w:r w:rsidR="00EF3413" w:rsidRPr="00D512DE">
        <w:rPr>
          <w:rFonts w:ascii="宋体" w:hAnsi="宋体" w:hint="eastAsia"/>
          <w:b/>
          <w:szCs w:val="21"/>
        </w:rPr>
        <w:t>2</w:t>
      </w:r>
      <w:r w:rsidR="004669B6">
        <w:rPr>
          <w:rFonts w:ascii="宋体" w:hAnsi="宋体"/>
          <w:b/>
          <w:szCs w:val="21"/>
        </w:rPr>
        <w:t>4</w:t>
      </w:r>
      <w:r w:rsidRPr="00D512DE">
        <w:rPr>
          <w:rFonts w:ascii="宋体" w:hAnsi="宋体"/>
          <w:b/>
          <w:szCs w:val="21"/>
        </w:rPr>
        <w:t>年</w:t>
      </w:r>
      <w:r w:rsidR="004669B6">
        <w:rPr>
          <w:rFonts w:ascii="宋体" w:hAnsi="宋体"/>
          <w:b/>
          <w:szCs w:val="21"/>
        </w:rPr>
        <w:t>3</w:t>
      </w:r>
      <w:r w:rsidRPr="00D512DE">
        <w:rPr>
          <w:rFonts w:ascii="宋体" w:hAnsi="宋体"/>
          <w:b/>
          <w:szCs w:val="21"/>
        </w:rPr>
        <w:t>月</w:t>
      </w:r>
      <w:r w:rsidR="004669B6">
        <w:rPr>
          <w:rFonts w:ascii="宋体" w:hAnsi="宋体"/>
          <w:b/>
          <w:szCs w:val="21"/>
        </w:rPr>
        <w:t>2</w:t>
      </w:r>
      <w:r w:rsidR="008A2298">
        <w:rPr>
          <w:rFonts w:ascii="宋体" w:hAnsi="宋体"/>
          <w:b/>
          <w:szCs w:val="21"/>
        </w:rPr>
        <w:t>7</w:t>
      </w:r>
      <w:r w:rsidRPr="00D512DE">
        <w:rPr>
          <w:rFonts w:ascii="宋体" w:hAnsi="宋体"/>
          <w:b/>
          <w:szCs w:val="21"/>
        </w:rPr>
        <w:t>日</w:t>
      </w:r>
    </w:p>
    <w:p w:rsidR="000C7343" w:rsidRPr="00D512DE" w:rsidRDefault="000C7343">
      <w:pPr>
        <w:rPr>
          <w:rFonts w:ascii="Arial" w:hAnsi="Arial" w:cs="Arial"/>
          <w:sz w:val="27"/>
          <w:szCs w:val="27"/>
          <w:shd w:val="clear" w:color="auto" w:fill="FFFFFF"/>
        </w:rPr>
      </w:pPr>
    </w:p>
    <w:p w:rsidR="00F91650" w:rsidRPr="00D512DE" w:rsidRDefault="004C1612" w:rsidP="000C7343">
      <w:pPr>
        <w:widowControl/>
        <w:shd w:val="clear" w:color="auto" w:fill="FFFFFF"/>
        <w:spacing w:line="360" w:lineRule="auto"/>
        <w:jc w:val="left"/>
        <w:textAlignment w:val="baseline"/>
        <w:rPr>
          <w:rFonts w:asciiTheme="minorEastAsia" w:hAnsiTheme="minorEastAsia" w:cs="Arial"/>
          <w:kern w:val="0"/>
          <w:szCs w:val="21"/>
        </w:rPr>
      </w:pPr>
      <w:r w:rsidRPr="00D512DE">
        <w:rPr>
          <w:rFonts w:asciiTheme="minorEastAsia" w:hAnsiTheme="minorEastAsia" w:cs="Arial"/>
          <w:kern w:val="0"/>
          <w:szCs w:val="21"/>
          <w:bdr w:val="none" w:sz="0" w:space="0" w:color="auto" w:frame="1"/>
        </w:rPr>
        <w:tab/>
      </w:r>
      <w:r w:rsidRPr="00D512DE">
        <w:rPr>
          <w:rFonts w:asciiTheme="minorEastAsia" w:hAnsiTheme="minorEastAsia" w:cs="Arial" w:hint="eastAsia"/>
          <w:kern w:val="0"/>
          <w:szCs w:val="21"/>
          <w:bdr w:val="none" w:sz="0" w:space="0" w:color="auto" w:frame="1"/>
        </w:rPr>
        <w:t>为了更好地服务客户，华宝基金管理有限公司（以下简称：“本公司”）决定自</w:t>
      </w:r>
      <w:r w:rsidRPr="00D512DE">
        <w:rPr>
          <w:rFonts w:asciiTheme="minorEastAsia" w:hAnsiTheme="minorEastAsia" w:cs="Arial" w:hint="eastAsia"/>
          <w:kern w:val="0"/>
          <w:szCs w:val="21"/>
          <w:bdr w:val="none" w:sz="0" w:space="0" w:color="auto" w:frame="1"/>
        </w:rPr>
        <w:t>20</w:t>
      </w:r>
      <w:r w:rsidR="00030172" w:rsidRPr="00D512DE">
        <w:rPr>
          <w:rFonts w:asciiTheme="minorEastAsia" w:hAnsiTheme="minorEastAsia" w:cs="Arial" w:hint="eastAsia"/>
          <w:kern w:val="0"/>
          <w:szCs w:val="21"/>
          <w:bdr w:val="none" w:sz="0" w:space="0" w:color="auto" w:frame="1"/>
        </w:rPr>
        <w:t>2</w:t>
      </w:r>
      <w:r w:rsidR="004669B6">
        <w:rPr>
          <w:rFonts w:asciiTheme="minorEastAsia" w:hAnsiTheme="minorEastAsia" w:cs="Arial"/>
          <w:kern w:val="0"/>
          <w:szCs w:val="21"/>
          <w:bdr w:val="none" w:sz="0" w:space="0" w:color="auto" w:frame="1"/>
        </w:rPr>
        <w:t>4</w:t>
      </w:r>
      <w:r w:rsidRPr="00D512DE">
        <w:rPr>
          <w:rFonts w:asciiTheme="minorEastAsia" w:hAnsiTheme="minorEastAsia" w:cs="Arial" w:hint="eastAsia"/>
          <w:kern w:val="0"/>
          <w:szCs w:val="21"/>
          <w:bdr w:val="none" w:sz="0" w:space="0" w:color="auto" w:frame="1"/>
        </w:rPr>
        <w:t>年</w:t>
      </w:r>
      <w:r w:rsidR="004669B6">
        <w:rPr>
          <w:rFonts w:asciiTheme="minorEastAsia" w:hAnsiTheme="minorEastAsia" w:cs="Arial"/>
          <w:kern w:val="0"/>
          <w:szCs w:val="21"/>
          <w:bdr w:val="none" w:sz="0" w:space="0" w:color="auto" w:frame="1"/>
        </w:rPr>
        <w:t>3</w:t>
      </w:r>
      <w:r w:rsidRPr="00D512DE">
        <w:rPr>
          <w:rFonts w:asciiTheme="minorEastAsia" w:hAnsiTheme="minorEastAsia" w:cs="Arial" w:hint="eastAsia"/>
          <w:kern w:val="0"/>
          <w:szCs w:val="21"/>
          <w:bdr w:val="none" w:sz="0" w:space="0" w:color="auto" w:frame="1"/>
        </w:rPr>
        <w:t>月</w:t>
      </w:r>
      <w:r w:rsidR="004669B6">
        <w:rPr>
          <w:rFonts w:asciiTheme="minorEastAsia" w:hAnsiTheme="minorEastAsia" w:cs="Arial"/>
          <w:kern w:val="0"/>
          <w:szCs w:val="21"/>
          <w:bdr w:val="none" w:sz="0" w:space="0" w:color="auto" w:frame="1"/>
        </w:rPr>
        <w:t>2</w:t>
      </w:r>
      <w:r w:rsidR="008A2298">
        <w:rPr>
          <w:rFonts w:asciiTheme="minorEastAsia" w:hAnsiTheme="minorEastAsia" w:cs="Arial"/>
          <w:kern w:val="0"/>
          <w:szCs w:val="21"/>
          <w:bdr w:val="none" w:sz="0" w:space="0" w:color="auto" w:frame="1"/>
        </w:rPr>
        <w:t>7</w:t>
      </w:r>
      <w:r w:rsidRPr="00D512DE">
        <w:rPr>
          <w:rFonts w:asciiTheme="minorEastAsia" w:hAnsiTheme="minorEastAsia" w:cs="Arial" w:hint="eastAsia"/>
          <w:kern w:val="0"/>
          <w:szCs w:val="21"/>
          <w:bdr w:val="none" w:sz="0" w:space="0" w:color="auto" w:frame="1"/>
        </w:rPr>
        <w:t>日起至</w:t>
      </w:r>
      <w:r w:rsidRPr="00D512DE">
        <w:rPr>
          <w:rFonts w:asciiTheme="minorEastAsia" w:hAnsiTheme="minorEastAsia" w:cs="Arial" w:hint="eastAsia"/>
          <w:kern w:val="0"/>
          <w:szCs w:val="21"/>
          <w:bdr w:val="none" w:sz="0" w:space="0" w:color="auto" w:frame="1"/>
        </w:rPr>
        <w:t>20</w:t>
      </w:r>
      <w:r w:rsidR="00323C05" w:rsidRPr="00D512DE">
        <w:rPr>
          <w:rFonts w:asciiTheme="minorEastAsia" w:hAnsiTheme="minorEastAsia" w:cs="Arial"/>
          <w:kern w:val="0"/>
          <w:szCs w:val="21"/>
          <w:bdr w:val="none" w:sz="0" w:space="0" w:color="auto" w:frame="1"/>
        </w:rPr>
        <w:t>2</w:t>
      </w:r>
      <w:r w:rsidR="004669B6">
        <w:rPr>
          <w:rFonts w:asciiTheme="minorEastAsia" w:hAnsiTheme="minorEastAsia" w:cs="Arial"/>
          <w:kern w:val="0"/>
          <w:szCs w:val="21"/>
          <w:bdr w:val="none" w:sz="0" w:space="0" w:color="auto" w:frame="1"/>
        </w:rPr>
        <w:t>5</w:t>
      </w:r>
      <w:r w:rsidRPr="00D512DE">
        <w:rPr>
          <w:rFonts w:asciiTheme="minorEastAsia" w:hAnsiTheme="minorEastAsia" w:cs="Arial" w:hint="eastAsia"/>
          <w:kern w:val="0"/>
          <w:szCs w:val="21"/>
          <w:bdr w:val="none" w:sz="0" w:space="0" w:color="auto" w:frame="1"/>
        </w:rPr>
        <w:t>年</w:t>
      </w:r>
      <w:r w:rsidR="004669B6">
        <w:rPr>
          <w:rFonts w:asciiTheme="minorEastAsia" w:hAnsiTheme="minorEastAsia" w:cs="Arial"/>
          <w:kern w:val="0"/>
          <w:szCs w:val="21"/>
          <w:bdr w:val="none" w:sz="0" w:space="0" w:color="auto" w:frame="1"/>
        </w:rPr>
        <w:t>3</w:t>
      </w:r>
      <w:r w:rsidRPr="00D512DE">
        <w:rPr>
          <w:rFonts w:asciiTheme="minorEastAsia" w:hAnsiTheme="minorEastAsia" w:cs="Arial" w:hint="eastAsia"/>
          <w:kern w:val="0"/>
          <w:szCs w:val="21"/>
          <w:bdr w:val="none" w:sz="0" w:space="0" w:color="auto" w:frame="1"/>
        </w:rPr>
        <w:t>月</w:t>
      </w:r>
      <w:r w:rsidR="004669B6">
        <w:rPr>
          <w:rFonts w:asciiTheme="minorEastAsia" w:hAnsiTheme="minorEastAsia" w:cs="Arial"/>
          <w:kern w:val="0"/>
          <w:szCs w:val="21"/>
          <w:bdr w:val="none" w:sz="0" w:space="0" w:color="auto" w:frame="1"/>
        </w:rPr>
        <w:t>2</w:t>
      </w:r>
      <w:r w:rsidR="008A2298">
        <w:rPr>
          <w:rFonts w:asciiTheme="minorEastAsia" w:hAnsiTheme="minorEastAsia" w:cs="Arial"/>
          <w:kern w:val="0"/>
          <w:szCs w:val="21"/>
          <w:bdr w:val="none" w:sz="0" w:space="0" w:color="auto" w:frame="1"/>
        </w:rPr>
        <w:t>6</w:t>
      </w:r>
      <w:r w:rsidRPr="00D512DE">
        <w:rPr>
          <w:rFonts w:asciiTheme="minorEastAsia" w:hAnsiTheme="minorEastAsia" w:cs="Arial" w:hint="eastAsia"/>
          <w:kern w:val="0"/>
          <w:szCs w:val="21"/>
          <w:bdr w:val="none" w:sz="0" w:space="0" w:color="auto" w:frame="1"/>
        </w:rPr>
        <w:t>日，投资者通过本公司网上直销平台对现金宝</w:t>
      </w:r>
      <w:r w:rsidRPr="00D512DE">
        <w:rPr>
          <w:rFonts w:asciiTheme="minorEastAsia" w:hAnsiTheme="minorEastAsia" w:cs="Arial" w:hint="eastAsia"/>
          <w:kern w:val="0"/>
          <w:szCs w:val="21"/>
          <w:bdr w:val="none" w:sz="0" w:space="0" w:color="auto" w:frame="1"/>
        </w:rPr>
        <w:t>E</w:t>
      </w:r>
      <w:r w:rsidR="00981C1D" w:rsidRPr="00D512DE">
        <w:rPr>
          <w:rFonts w:asciiTheme="minorEastAsia" w:hAnsiTheme="minorEastAsia" w:cs="Arial" w:hint="eastAsia"/>
          <w:kern w:val="0"/>
          <w:szCs w:val="21"/>
          <w:bdr w:val="none" w:sz="0" w:space="0" w:color="auto" w:frame="1"/>
        </w:rPr>
        <w:t>类</w:t>
      </w:r>
      <w:r w:rsidRPr="00D512DE">
        <w:rPr>
          <w:rFonts w:asciiTheme="minorEastAsia" w:hAnsiTheme="minorEastAsia" w:cs="Arial" w:hint="eastAsia"/>
          <w:kern w:val="0"/>
          <w:szCs w:val="21"/>
          <w:bdr w:val="none" w:sz="0" w:space="0" w:color="auto" w:frame="1"/>
        </w:rPr>
        <w:t>份额（以下简称：“本基金”）</w:t>
      </w:r>
      <w:r w:rsidR="00581D16" w:rsidRPr="00D512DE">
        <w:rPr>
          <w:rFonts w:asciiTheme="minorEastAsia" w:hAnsiTheme="minorEastAsia" w:cs="Arial" w:hint="eastAsia"/>
          <w:kern w:val="0"/>
          <w:szCs w:val="21"/>
          <w:bdr w:val="none" w:sz="0" w:space="0" w:color="auto" w:frame="1"/>
        </w:rPr>
        <w:t>转换、</w:t>
      </w:r>
      <w:r w:rsidRPr="00D512DE">
        <w:rPr>
          <w:rFonts w:asciiTheme="minorEastAsia" w:hAnsiTheme="minorEastAsia" w:cs="Arial" w:hint="eastAsia"/>
          <w:kern w:val="0"/>
          <w:szCs w:val="21"/>
          <w:bdr w:val="none" w:sz="0" w:space="0" w:color="auto" w:frame="1"/>
        </w:rPr>
        <w:t>赎回转申购</w:t>
      </w:r>
      <w:r w:rsidR="002315DF" w:rsidRPr="00D512DE">
        <w:rPr>
          <w:rFonts w:asciiTheme="minorEastAsia" w:hAnsiTheme="minorEastAsia" w:cs="Arial" w:hint="eastAsia"/>
          <w:kern w:val="0"/>
          <w:szCs w:val="21"/>
          <w:bdr w:val="none" w:sz="0" w:space="0" w:color="auto" w:frame="1"/>
        </w:rPr>
        <w:t>、定期转换、定期赎回转申购</w:t>
      </w:r>
      <w:r w:rsidRPr="00D512DE">
        <w:rPr>
          <w:rFonts w:asciiTheme="minorEastAsia" w:hAnsiTheme="minorEastAsia" w:cs="Arial" w:hint="eastAsia"/>
          <w:kern w:val="0"/>
          <w:szCs w:val="21"/>
          <w:bdr w:val="none" w:sz="0" w:space="0" w:color="auto" w:frame="1"/>
        </w:rPr>
        <w:t>业务进行费率优惠。</w:t>
      </w:r>
    </w:p>
    <w:p w:rsidR="00F91650" w:rsidRPr="00D512DE" w:rsidRDefault="004C1612" w:rsidP="0066202F">
      <w:pPr>
        <w:widowControl/>
        <w:shd w:val="clear" w:color="auto" w:fill="FFFFFF"/>
        <w:spacing w:line="360" w:lineRule="auto"/>
        <w:jc w:val="left"/>
        <w:textAlignment w:val="baseline"/>
        <w:rPr>
          <w:rFonts w:asciiTheme="minorEastAsia" w:hAnsiTheme="minorEastAsia" w:cs="Arial"/>
          <w:kern w:val="0"/>
          <w:szCs w:val="21"/>
        </w:rPr>
      </w:pPr>
      <w:r w:rsidRPr="00D512DE">
        <w:rPr>
          <w:rFonts w:asciiTheme="minorEastAsia" w:hAnsiTheme="minorEastAsia" w:cs="Arial"/>
          <w:kern w:val="0"/>
          <w:szCs w:val="21"/>
          <w:bdr w:val="none" w:sz="0" w:space="0" w:color="auto" w:frame="1"/>
        </w:rPr>
        <w:tab/>
      </w:r>
      <w:r w:rsidRPr="00D512DE">
        <w:rPr>
          <w:rFonts w:asciiTheme="minorEastAsia" w:hAnsiTheme="minorEastAsia" w:cs="Arial" w:hint="eastAsia"/>
          <w:kern w:val="0"/>
          <w:szCs w:val="21"/>
          <w:bdr w:val="none" w:sz="0" w:space="0" w:color="auto" w:frame="1"/>
        </w:rPr>
        <w:t>现将相关情况公告如下：</w:t>
      </w:r>
    </w:p>
    <w:p w:rsidR="00F91650" w:rsidRPr="00D512DE" w:rsidRDefault="004C1612" w:rsidP="0066202F">
      <w:pPr>
        <w:widowControl/>
        <w:shd w:val="clear" w:color="auto" w:fill="FFFFFF"/>
        <w:spacing w:line="360" w:lineRule="auto"/>
        <w:jc w:val="left"/>
        <w:textAlignment w:val="baseline"/>
        <w:rPr>
          <w:rFonts w:asciiTheme="minorEastAsia" w:hAnsiTheme="minorEastAsia" w:cs="Arial"/>
          <w:kern w:val="0"/>
          <w:szCs w:val="21"/>
        </w:rPr>
      </w:pPr>
      <w:r w:rsidRPr="00D512DE">
        <w:rPr>
          <w:rFonts w:asciiTheme="minorEastAsia" w:hAnsiTheme="minorEastAsia" w:cs="Arial"/>
          <w:kern w:val="0"/>
          <w:szCs w:val="21"/>
          <w:bdr w:val="none" w:sz="0" w:space="0" w:color="auto" w:frame="1"/>
        </w:rPr>
        <w:tab/>
      </w:r>
      <w:r w:rsidRPr="00D512DE">
        <w:rPr>
          <w:rFonts w:asciiTheme="minorEastAsia" w:hAnsiTheme="minorEastAsia" w:cs="Arial" w:hint="eastAsia"/>
          <w:kern w:val="0"/>
          <w:szCs w:val="21"/>
          <w:bdr w:val="none" w:sz="0" w:space="0" w:color="auto" w:frame="1"/>
        </w:rPr>
        <w:t>一</w:t>
      </w:r>
      <w:r w:rsidRPr="00D512DE">
        <w:rPr>
          <w:rFonts w:asciiTheme="minorEastAsia" w:hAnsiTheme="minorEastAsia" w:cs="Arial" w:hint="eastAsia"/>
          <w:kern w:val="0"/>
          <w:szCs w:val="21"/>
          <w:bdr w:val="none" w:sz="0" w:space="0" w:color="auto" w:frame="1"/>
        </w:rPr>
        <w:t xml:space="preserve"> </w:t>
      </w:r>
      <w:r w:rsidRPr="00D512DE">
        <w:rPr>
          <w:rFonts w:asciiTheme="minorEastAsia" w:hAnsiTheme="minorEastAsia" w:cs="Arial" w:hint="eastAsia"/>
          <w:kern w:val="0"/>
          <w:szCs w:val="21"/>
          <w:bdr w:val="none" w:sz="0" w:space="0" w:color="auto" w:frame="1"/>
        </w:rPr>
        <w:t>、适用基金范围</w:t>
      </w:r>
    </w:p>
    <w:tbl>
      <w:tblPr>
        <w:tblW w:w="8923" w:type="dxa"/>
        <w:jc w:val="center"/>
        <w:shd w:val="clear" w:color="auto" w:fill="FFFFFF"/>
        <w:tblCellMar>
          <w:top w:w="567" w:type="dxa"/>
          <w:left w:w="105" w:type="dxa"/>
          <w:bottom w:w="567" w:type="dxa"/>
          <w:right w:w="105" w:type="dxa"/>
        </w:tblCellMar>
        <w:tblLook w:val="04A0"/>
      </w:tblPr>
      <w:tblGrid>
        <w:gridCol w:w="5665"/>
        <w:gridCol w:w="1701"/>
        <w:gridCol w:w="1557"/>
      </w:tblGrid>
      <w:tr w:rsidR="00A0427C" w:rsidTr="00A438F4">
        <w:trPr>
          <w:trHeight w:val="54"/>
          <w:jc w:val="center"/>
        </w:trPr>
        <w:tc>
          <w:tcPr>
            <w:tcW w:w="566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91650" w:rsidRPr="00D512DE" w:rsidRDefault="004C1612" w:rsidP="0066202F">
            <w:pPr>
              <w:widowControl/>
              <w:spacing w:line="360" w:lineRule="auto"/>
              <w:jc w:val="center"/>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基金名称</w:t>
            </w:r>
          </w:p>
        </w:tc>
        <w:tc>
          <w:tcPr>
            <w:tcW w:w="1701"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91650" w:rsidRPr="00D512DE" w:rsidRDefault="004C1612" w:rsidP="0066202F">
            <w:pPr>
              <w:widowControl/>
              <w:spacing w:line="360" w:lineRule="auto"/>
              <w:jc w:val="center"/>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基金简称</w:t>
            </w:r>
          </w:p>
        </w:tc>
        <w:tc>
          <w:tcPr>
            <w:tcW w:w="1557"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91650" w:rsidRPr="00D512DE" w:rsidRDefault="004C1612" w:rsidP="0066202F">
            <w:pPr>
              <w:widowControl/>
              <w:spacing w:line="360" w:lineRule="auto"/>
              <w:jc w:val="center"/>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基金代码</w:t>
            </w:r>
          </w:p>
        </w:tc>
      </w:tr>
      <w:tr w:rsidR="00A0427C" w:rsidTr="00A438F4">
        <w:trPr>
          <w:trHeight w:val="251"/>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91650" w:rsidRPr="00D512DE" w:rsidRDefault="004C1612" w:rsidP="0066202F">
            <w:pPr>
              <w:widowControl/>
              <w:spacing w:line="360" w:lineRule="auto"/>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华宝创新优选混合型证券投资基金</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91650" w:rsidRPr="00D512DE" w:rsidRDefault="004C1612" w:rsidP="0066202F">
            <w:pPr>
              <w:widowControl/>
              <w:spacing w:line="360" w:lineRule="auto"/>
              <w:jc w:val="center"/>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创新优选</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91650" w:rsidRPr="00D512DE" w:rsidRDefault="004C1612" w:rsidP="0066202F">
            <w:pPr>
              <w:widowControl/>
              <w:spacing w:line="360" w:lineRule="auto"/>
              <w:jc w:val="center"/>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000601</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D512DE" w:rsidRDefault="004C1612" w:rsidP="005E5331">
            <w:pPr>
              <w:widowControl/>
              <w:spacing w:line="360" w:lineRule="auto"/>
              <w:jc w:val="left"/>
              <w:textAlignment w:val="baseline"/>
              <w:rPr>
                <w:rFonts w:asciiTheme="minorEastAsia" w:hAnsiTheme="minorEastAsia" w:cs="Arial"/>
                <w:kern w:val="0"/>
                <w:szCs w:val="21"/>
                <w:bdr w:val="none" w:sz="0" w:space="0" w:color="auto" w:frame="1"/>
              </w:rPr>
            </w:pPr>
            <w:r w:rsidRPr="00D512DE">
              <w:rPr>
                <w:rFonts w:asciiTheme="minorEastAsia" w:hAnsiTheme="minorEastAsia" w:cs="Arial" w:hint="eastAsia"/>
                <w:kern w:val="0"/>
                <w:szCs w:val="21"/>
                <w:bdr w:val="none" w:sz="0" w:space="0" w:color="auto" w:frame="1"/>
              </w:rPr>
              <w:t>华宝生态中国混合型证券投资基金</w:t>
            </w:r>
            <w:r w:rsidR="002124E8">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D512DE" w:rsidRDefault="004C1612" w:rsidP="005E533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D512DE">
              <w:rPr>
                <w:rFonts w:asciiTheme="minorEastAsia" w:hAnsiTheme="minorEastAsia" w:cs="Arial" w:hint="eastAsia"/>
                <w:kern w:val="0"/>
                <w:szCs w:val="21"/>
                <w:bdr w:val="none" w:sz="0" w:space="0" w:color="auto" w:frame="1"/>
              </w:rPr>
              <w:t>生态中国</w:t>
            </w:r>
            <w:r w:rsidR="002124E8">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D512DE" w:rsidRDefault="004C1612" w:rsidP="005E533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D512DE">
              <w:rPr>
                <w:rFonts w:asciiTheme="minorEastAsia" w:hAnsiTheme="minorEastAsia" w:cs="Arial"/>
                <w:kern w:val="0"/>
                <w:szCs w:val="21"/>
                <w:bdr w:val="none" w:sz="0" w:space="0" w:color="auto" w:frame="1"/>
              </w:rPr>
              <w:t>000612</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E5331" w:rsidRPr="00D512DE" w:rsidRDefault="004C1612" w:rsidP="005E5331">
            <w:pPr>
              <w:widowControl/>
              <w:spacing w:line="360" w:lineRule="auto"/>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华宝沪深</w:t>
            </w:r>
            <w:r w:rsidRPr="00D512DE">
              <w:rPr>
                <w:rFonts w:asciiTheme="minorEastAsia" w:hAnsiTheme="minorEastAsia" w:cs="Arial" w:hint="eastAsia"/>
                <w:kern w:val="0"/>
                <w:szCs w:val="21"/>
                <w:bdr w:val="none" w:sz="0" w:space="0" w:color="auto" w:frame="1"/>
              </w:rPr>
              <w:t>300</w:t>
            </w:r>
            <w:r w:rsidRPr="00D512DE">
              <w:rPr>
                <w:rFonts w:asciiTheme="minorEastAsia" w:hAnsiTheme="minorEastAsia" w:cs="Arial" w:hint="eastAsia"/>
                <w:kern w:val="0"/>
                <w:szCs w:val="21"/>
                <w:bdr w:val="none" w:sz="0" w:space="0" w:color="auto" w:frame="1"/>
              </w:rPr>
              <w:t>指数增强型发起</w:t>
            </w:r>
            <w:bookmarkStart w:id="0" w:name="_GoBack"/>
            <w:bookmarkEnd w:id="0"/>
            <w:r w:rsidRPr="00D512DE">
              <w:rPr>
                <w:rFonts w:asciiTheme="minorEastAsia" w:hAnsiTheme="minorEastAsia" w:cs="Arial" w:hint="eastAsia"/>
                <w:kern w:val="0"/>
                <w:szCs w:val="21"/>
                <w:bdr w:val="none" w:sz="0" w:space="0" w:color="auto" w:frame="1"/>
              </w:rPr>
              <w:t>式证券投资基金</w:t>
            </w:r>
            <w:r w:rsidR="00FB3B3D" w:rsidRPr="00D512DE">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E5331" w:rsidRPr="00D512DE" w:rsidRDefault="004C1612" w:rsidP="005E5331">
            <w:pPr>
              <w:widowControl/>
              <w:spacing w:line="360" w:lineRule="auto"/>
              <w:jc w:val="center"/>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沪深</w:t>
            </w:r>
            <w:r w:rsidRPr="00D512DE">
              <w:rPr>
                <w:rFonts w:asciiTheme="minorEastAsia" w:hAnsiTheme="minorEastAsia" w:cs="Arial" w:hint="eastAsia"/>
                <w:kern w:val="0"/>
                <w:szCs w:val="21"/>
                <w:bdr w:val="none" w:sz="0" w:space="0" w:color="auto" w:frame="1"/>
              </w:rPr>
              <w:t>300</w:t>
            </w:r>
            <w:r w:rsidRPr="00D512DE">
              <w:rPr>
                <w:rFonts w:asciiTheme="minorEastAsia" w:hAnsiTheme="minorEastAsia" w:cs="Arial" w:hint="eastAsia"/>
                <w:kern w:val="0"/>
                <w:szCs w:val="21"/>
                <w:bdr w:val="none" w:sz="0" w:space="0" w:color="auto" w:frame="1"/>
              </w:rPr>
              <w:t>增强</w:t>
            </w:r>
            <w:r w:rsidR="00FB3B3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E5331" w:rsidRPr="00D512DE" w:rsidRDefault="004C1612" w:rsidP="005E5331">
            <w:pPr>
              <w:widowControl/>
              <w:spacing w:line="360" w:lineRule="auto"/>
              <w:jc w:val="center"/>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003876</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left"/>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华宝中证</w:t>
            </w:r>
            <w:r w:rsidRPr="004108DD">
              <w:rPr>
                <w:rFonts w:asciiTheme="minorEastAsia" w:hAnsiTheme="minorEastAsia" w:cs="Arial"/>
                <w:kern w:val="0"/>
                <w:szCs w:val="21"/>
                <w:bdr w:val="none" w:sz="0" w:space="0" w:color="auto" w:frame="1"/>
              </w:rPr>
              <w:t>500</w:t>
            </w:r>
            <w:r w:rsidRPr="004108DD">
              <w:rPr>
                <w:rFonts w:asciiTheme="minorEastAsia" w:hAnsiTheme="minorEastAsia" w:cs="Arial"/>
                <w:kern w:val="0"/>
                <w:szCs w:val="21"/>
                <w:bdr w:val="none" w:sz="0" w:space="0" w:color="auto" w:frame="1"/>
              </w:rPr>
              <w:t>指数增强型发起式证券投资基金</w:t>
            </w:r>
            <w:r w:rsidRPr="004108DD">
              <w:rPr>
                <w:rFonts w:asciiTheme="minorEastAsia" w:hAnsiTheme="minorEastAsia" w:cs="Arial" w:hint="eastAsia"/>
                <w:kern w:val="0"/>
                <w:szCs w:val="21"/>
                <w:bdr w:val="none" w:sz="0" w:space="0" w:color="auto" w:frame="1"/>
              </w:rPr>
              <w:t>A</w:t>
            </w:r>
            <w:r w:rsidRPr="004108DD">
              <w:rPr>
                <w:rFonts w:asciiTheme="minorEastAsia" w:hAnsiTheme="minorEastAsia" w:cs="Arial" w:hint="eastAsia"/>
                <w:kern w:val="0"/>
                <w:szCs w:val="21"/>
                <w:bdr w:val="none" w:sz="0" w:space="0" w:color="auto" w:frame="1"/>
              </w:rPr>
              <w:t>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hint="eastAsia"/>
                <w:kern w:val="0"/>
                <w:szCs w:val="21"/>
                <w:bdr w:val="none" w:sz="0" w:space="0" w:color="auto" w:frame="1"/>
              </w:rPr>
              <w:t>中证</w:t>
            </w:r>
            <w:r w:rsidRPr="004108DD">
              <w:rPr>
                <w:rFonts w:asciiTheme="minorEastAsia" w:hAnsiTheme="minorEastAsia" w:cs="Arial" w:hint="eastAsia"/>
                <w:kern w:val="0"/>
                <w:szCs w:val="21"/>
                <w:bdr w:val="none" w:sz="0" w:space="0" w:color="auto" w:frame="1"/>
              </w:rPr>
              <w:t>500</w:t>
            </w:r>
            <w:r w:rsidRPr="004108DD">
              <w:rPr>
                <w:rFonts w:asciiTheme="minorEastAsia" w:hAnsiTheme="minorEastAsia" w:cs="Arial" w:hint="eastAsia"/>
                <w:kern w:val="0"/>
                <w:szCs w:val="21"/>
                <w:bdr w:val="none" w:sz="0" w:space="0" w:color="auto" w:frame="1"/>
              </w:rPr>
              <w:t>增强</w:t>
            </w:r>
            <w:r w:rsidRPr="004108D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005607</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r w:rsidRPr="004108DD">
              <w:t>华宝中证全指证券公司交易型开放式指数证券投资基金发起式联接基金</w:t>
            </w:r>
            <w:r w:rsidR="00FB3B3D" w:rsidRPr="004108DD">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券商</w:t>
            </w:r>
            <w:r w:rsidRPr="004108DD">
              <w:rPr>
                <w:rFonts w:asciiTheme="minorEastAsia" w:hAnsiTheme="minorEastAsia" w:cs="Arial"/>
                <w:kern w:val="0"/>
                <w:szCs w:val="21"/>
                <w:bdr w:val="none" w:sz="0" w:space="0" w:color="auto" w:frame="1"/>
              </w:rPr>
              <w:t>ETF</w:t>
            </w:r>
            <w:r w:rsidRPr="004108DD">
              <w:rPr>
                <w:rFonts w:asciiTheme="minorEastAsia" w:hAnsiTheme="minorEastAsia" w:cs="Arial"/>
                <w:kern w:val="0"/>
                <w:szCs w:val="21"/>
                <w:bdr w:val="none" w:sz="0" w:space="0" w:color="auto" w:frame="1"/>
              </w:rPr>
              <w:t>联接</w:t>
            </w:r>
            <w:r w:rsidR="00FB3B3D" w:rsidRPr="004108D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006098</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AD210D" w:rsidRPr="004108DD" w:rsidRDefault="004C1612" w:rsidP="005E5331">
            <w:r w:rsidRPr="004108DD">
              <w:rPr>
                <w:rFonts w:hint="eastAsia"/>
              </w:rPr>
              <w:t>华宝中短债债券型发起式证券投资基金</w:t>
            </w:r>
            <w:r w:rsidR="005551D0" w:rsidRPr="004108DD">
              <w:rPr>
                <w:rFonts w:hint="eastAsia"/>
              </w:rPr>
              <w:t>A</w:t>
            </w:r>
            <w:r w:rsidR="005551D0" w:rsidRPr="004108DD">
              <w:rPr>
                <w:rFonts w:hint="eastAsia"/>
              </w:rPr>
              <w:t>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D210D" w:rsidRPr="004108DD" w:rsidRDefault="004C1612" w:rsidP="005E533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hint="eastAsia"/>
                <w:kern w:val="0"/>
                <w:szCs w:val="21"/>
                <w:bdr w:val="none" w:sz="0" w:space="0" w:color="auto" w:frame="1"/>
              </w:rPr>
              <w:t>中短债</w:t>
            </w:r>
            <w:r w:rsidRPr="004108D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AD210D" w:rsidRPr="004108DD" w:rsidRDefault="004C1612" w:rsidP="005E533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006947</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1F4A0B" w:rsidRPr="004108DD" w:rsidRDefault="004C1612" w:rsidP="0013064C">
            <w:r w:rsidRPr="004108DD">
              <w:rPr>
                <w:rFonts w:hint="eastAsia"/>
              </w:rPr>
              <w:t>华宝中证科技龙头交易型开放式指数证券投资基金发起式联接基金</w:t>
            </w:r>
            <w:r w:rsidRPr="004108DD">
              <w:rPr>
                <w:rFonts w:hint="eastAsia"/>
              </w:rPr>
              <w:t>A</w:t>
            </w:r>
            <w:r w:rsidRPr="004108DD">
              <w:rPr>
                <w:rFonts w:hint="eastAsia"/>
              </w:rPr>
              <w:t>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F4A0B"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hint="eastAsia"/>
                <w:kern w:val="0"/>
                <w:szCs w:val="21"/>
                <w:bdr w:val="none" w:sz="0" w:space="0" w:color="auto" w:frame="1"/>
              </w:rPr>
              <w:t>科技</w:t>
            </w:r>
            <w:r w:rsidRPr="004108DD">
              <w:rPr>
                <w:rFonts w:asciiTheme="minorEastAsia" w:hAnsiTheme="minorEastAsia" w:cs="Arial"/>
                <w:kern w:val="0"/>
                <w:szCs w:val="21"/>
                <w:bdr w:val="none" w:sz="0" w:space="0" w:color="auto" w:frame="1"/>
              </w:rPr>
              <w:t>ETF</w:t>
            </w:r>
            <w:r w:rsidRPr="004108DD">
              <w:rPr>
                <w:rFonts w:asciiTheme="minorEastAsia" w:hAnsiTheme="minorEastAsia" w:cs="Arial"/>
                <w:kern w:val="0"/>
                <w:szCs w:val="21"/>
                <w:bdr w:val="none" w:sz="0" w:space="0" w:color="auto" w:frame="1"/>
              </w:rPr>
              <w:t>联接</w:t>
            </w:r>
            <w:r w:rsidRPr="004108D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1F4A0B"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007873</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left"/>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华宝宝康债券投资基金</w:t>
            </w:r>
            <w:r w:rsidR="00FB3B3D" w:rsidRPr="004108DD">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宝康债券</w:t>
            </w:r>
            <w:r w:rsidR="00FB3B3D" w:rsidRPr="004108D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240003</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left"/>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华宝动力组合混合型证券投资基金</w:t>
            </w:r>
            <w:r w:rsidR="00717C31">
              <w:rPr>
                <w:rFonts w:asciiTheme="minorEastAsia" w:hAnsiTheme="minorEastAsia" w:cs="Arial"/>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kern w:val="0"/>
                <w:szCs w:val="21"/>
                <w:bdr w:val="none" w:sz="0" w:space="0" w:color="auto" w:frame="1"/>
              </w:rPr>
              <w:t>动力组合</w:t>
            </w:r>
            <w:r>
              <w:rPr>
                <w:rFonts w:asciiTheme="minorEastAsia" w:hAnsiTheme="minorEastAsia" w:cs="Arial"/>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240004</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left"/>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华宝中证</w:t>
            </w:r>
            <w:r w:rsidRPr="004108DD">
              <w:rPr>
                <w:rFonts w:asciiTheme="minorEastAsia" w:hAnsiTheme="minorEastAsia" w:cs="Arial"/>
                <w:kern w:val="0"/>
                <w:szCs w:val="21"/>
                <w:bdr w:val="none" w:sz="0" w:space="0" w:color="auto" w:frame="1"/>
              </w:rPr>
              <w:t>100</w:t>
            </w:r>
            <w:r w:rsidRPr="004108DD">
              <w:rPr>
                <w:rFonts w:asciiTheme="minorEastAsia" w:hAnsiTheme="minorEastAsia" w:cs="Arial"/>
                <w:kern w:val="0"/>
                <w:szCs w:val="21"/>
                <w:bdr w:val="none" w:sz="0" w:space="0" w:color="auto" w:frame="1"/>
              </w:rPr>
              <w:t>指数证券投资基金</w:t>
            </w:r>
            <w:r w:rsidR="00FB3B3D" w:rsidRPr="004108DD">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中证</w:t>
            </w:r>
            <w:r w:rsidRPr="004108DD">
              <w:rPr>
                <w:rFonts w:asciiTheme="minorEastAsia" w:hAnsiTheme="minorEastAsia" w:cs="Arial"/>
                <w:kern w:val="0"/>
                <w:szCs w:val="21"/>
                <w:bdr w:val="none" w:sz="0" w:space="0" w:color="auto" w:frame="1"/>
              </w:rPr>
              <w:t>100</w:t>
            </w:r>
            <w:r w:rsidR="00FB3B3D" w:rsidRPr="004108D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240014</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left"/>
              <w:textAlignment w:val="baseline"/>
              <w:rPr>
                <w:rFonts w:asciiTheme="minorEastAsia" w:hAnsiTheme="minorEastAsia" w:cs="Arial"/>
                <w:kern w:val="0"/>
                <w:szCs w:val="21"/>
                <w:bdr w:val="none" w:sz="0" w:space="0" w:color="auto" w:frame="1"/>
              </w:rPr>
            </w:pPr>
            <w:r w:rsidRPr="004108DD">
              <w:rPr>
                <w:rFonts w:asciiTheme="minorEastAsia" w:hAnsiTheme="minorEastAsia" w:cs="Arial" w:hint="eastAsia"/>
                <w:kern w:val="0"/>
                <w:szCs w:val="21"/>
                <w:bdr w:val="none" w:sz="0" w:space="0" w:color="auto" w:frame="1"/>
              </w:rPr>
              <w:t>华宝收益增长混合型证券投资基金</w:t>
            </w:r>
            <w:r w:rsidR="00717C31">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hint="eastAsia"/>
                <w:kern w:val="0"/>
                <w:szCs w:val="21"/>
                <w:bdr w:val="none" w:sz="0" w:space="0" w:color="auto" w:frame="1"/>
              </w:rPr>
              <w:t>收益增长</w:t>
            </w:r>
            <w:r w:rsidRPr="004108D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240008</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left"/>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华宝可转债债券型证券投资基金</w:t>
            </w:r>
            <w:r w:rsidR="00FB3B3D" w:rsidRPr="004108DD">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可转债</w:t>
            </w:r>
            <w:r w:rsidR="00FB3B3D" w:rsidRPr="004108D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240018</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left"/>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华宝中证银行交易型开放式指数证券投资基金联接基金</w:t>
            </w:r>
            <w:r w:rsidRPr="004108DD">
              <w:rPr>
                <w:rFonts w:asciiTheme="minorEastAsia" w:hAnsiTheme="minorEastAsia" w:cs="Arial" w:hint="eastAsia"/>
                <w:kern w:val="0"/>
                <w:szCs w:val="21"/>
                <w:bdr w:val="none" w:sz="0" w:space="0" w:color="auto" w:frame="1"/>
              </w:rPr>
              <w:t>A</w:t>
            </w:r>
            <w:r w:rsidRPr="004108DD">
              <w:rPr>
                <w:rFonts w:asciiTheme="minorEastAsia" w:hAnsiTheme="minorEastAsia" w:cs="Arial" w:hint="eastAsia"/>
                <w:kern w:val="0"/>
                <w:szCs w:val="21"/>
                <w:bdr w:val="none" w:sz="0" w:space="0" w:color="auto" w:frame="1"/>
              </w:rPr>
              <w:t>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银行</w:t>
            </w:r>
            <w:r w:rsidRPr="004108DD">
              <w:rPr>
                <w:rFonts w:asciiTheme="minorEastAsia" w:hAnsiTheme="minorEastAsia" w:cs="Arial"/>
                <w:kern w:val="0"/>
                <w:szCs w:val="21"/>
                <w:bdr w:val="none" w:sz="0" w:space="0" w:color="auto" w:frame="1"/>
              </w:rPr>
              <w:t>ETF</w:t>
            </w:r>
            <w:r w:rsidRPr="004108DD">
              <w:rPr>
                <w:rFonts w:asciiTheme="minorEastAsia" w:hAnsiTheme="minorEastAsia" w:cs="Arial"/>
                <w:kern w:val="0"/>
                <w:szCs w:val="21"/>
                <w:bdr w:val="none" w:sz="0" w:space="0" w:color="auto" w:frame="1"/>
              </w:rPr>
              <w:t>联接</w:t>
            </w:r>
            <w:r w:rsidRPr="004108DD">
              <w:rPr>
                <w:rFonts w:asciiTheme="minorEastAsia" w:hAnsiTheme="minorEastAsia" w:cs="Arial"/>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240019</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left"/>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t>华宝医药生物优选混合型证券投资基金</w:t>
            </w:r>
            <w:r w:rsidR="00717C31">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t>医药生物</w:t>
            </w:r>
            <w:r w:rsidR="00717C31">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t>240020</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left"/>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华宝资源优选混合型证券投资基金</w:t>
            </w:r>
            <w:r w:rsidR="00717C31">
              <w:rPr>
                <w:rFonts w:asciiTheme="minorEastAsia" w:hAnsiTheme="minorEastAsia" w:cs="Arial"/>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资源优选</w:t>
            </w:r>
            <w:r w:rsidR="00717C31">
              <w:rPr>
                <w:rFonts w:asciiTheme="minorEastAsia" w:hAnsiTheme="minorEastAsia" w:cs="Arial"/>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5E5331" w:rsidRPr="004108DD" w:rsidRDefault="004C1612" w:rsidP="005E533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kern w:val="0"/>
                <w:szCs w:val="21"/>
                <w:bdr w:val="none" w:sz="0" w:space="0" w:color="auto" w:frame="1"/>
              </w:rPr>
              <w:t>240022</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E5331" w:rsidRPr="004108DD" w:rsidRDefault="004C1612" w:rsidP="005E5331">
            <w:pPr>
              <w:widowControl/>
              <w:spacing w:line="360" w:lineRule="auto"/>
              <w:jc w:val="left"/>
              <w:textAlignment w:val="baseline"/>
              <w:rPr>
                <w:rFonts w:asciiTheme="minorEastAsia" w:hAnsiTheme="minorEastAsia" w:cs="Arial"/>
                <w:kern w:val="0"/>
                <w:szCs w:val="21"/>
              </w:rPr>
            </w:pPr>
            <w:r>
              <w:rPr>
                <w:rFonts w:asciiTheme="minorEastAsia" w:hAnsiTheme="minorEastAsia" w:cs="Arial" w:hint="eastAsia"/>
                <w:kern w:val="0"/>
                <w:szCs w:val="21"/>
                <w:bdr w:val="none" w:sz="0" w:space="0" w:color="auto" w:frame="1"/>
              </w:rPr>
              <w:t>华宝海外中国成长混合型证券投</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E5331" w:rsidRPr="004108DD" w:rsidRDefault="004C1612" w:rsidP="005E5331">
            <w:pPr>
              <w:widowControl/>
              <w:spacing w:line="360" w:lineRule="auto"/>
              <w:jc w:val="center"/>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t>海外中国成长</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5E5331" w:rsidRPr="004108DD" w:rsidRDefault="004C1612" w:rsidP="005E5331">
            <w:pPr>
              <w:widowControl/>
              <w:spacing w:line="360" w:lineRule="auto"/>
              <w:jc w:val="center"/>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t>241001</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4108DD" w:rsidRDefault="004C1612" w:rsidP="00762C51">
            <w:pPr>
              <w:widowControl/>
              <w:spacing w:line="360" w:lineRule="auto"/>
              <w:jc w:val="left"/>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lastRenderedPageBreak/>
              <w:t>华宝标普香港上市中国中小盘指数证券投资基金（</w:t>
            </w:r>
            <w:r w:rsidRPr="004108DD">
              <w:rPr>
                <w:rFonts w:asciiTheme="minorEastAsia" w:hAnsiTheme="minorEastAsia" w:cs="Arial" w:hint="eastAsia"/>
                <w:kern w:val="0"/>
                <w:szCs w:val="21"/>
                <w:bdr w:val="none" w:sz="0" w:space="0" w:color="auto" w:frame="1"/>
              </w:rPr>
              <w:t>LOF</w:t>
            </w:r>
            <w:r w:rsidRPr="004108DD">
              <w:rPr>
                <w:rFonts w:asciiTheme="minorEastAsia" w:hAnsiTheme="minorEastAsia" w:cs="Arial" w:hint="eastAsia"/>
                <w:kern w:val="0"/>
                <w:szCs w:val="21"/>
                <w:bdr w:val="none" w:sz="0" w:space="0" w:color="auto" w:frame="1"/>
              </w:rPr>
              <w:t>）</w:t>
            </w:r>
            <w:r w:rsidR="00FB3B3D" w:rsidRPr="004108DD">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4108DD" w:rsidRDefault="004C1612" w:rsidP="00762C51">
            <w:pPr>
              <w:widowControl/>
              <w:spacing w:line="360" w:lineRule="auto"/>
              <w:jc w:val="center"/>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t>香港中小</w:t>
            </w:r>
            <w:r w:rsidR="00FB3B3D" w:rsidRPr="004108D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4108DD" w:rsidRDefault="004C1612" w:rsidP="00762C51">
            <w:pPr>
              <w:widowControl/>
              <w:spacing w:line="360" w:lineRule="auto"/>
              <w:jc w:val="center"/>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t>501021</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4108DD" w:rsidRDefault="004C1612" w:rsidP="00762C51">
            <w:pPr>
              <w:widowControl/>
              <w:spacing w:line="360" w:lineRule="auto"/>
              <w:jc w:val="left"/>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t>华宝标普中国</w:t>
            </w:r>
            <w:r w:rsidRPr="004108DD">
              <w:rPr>
                <w:rFonts w:asciiTheme="minorEastAsia" w:hAnsiTheme="minorEastAsia" w:cs="Arial" w:hint="eastAsia"/>
                <w:kern w:val="0"/>
                <w:szCs w:val="21"/>
                <w:bdr w:val="none" w:sz="0" w:space="0" w:color="auto" w:frame="1"/>
              </w:rPr>
              <w:t>A</w:t>
            </w:r>
            <w:r w:rsidRPr="004108DD">
              <w:rPr>
                <w:rFonts w:asciiTheme="minorEastAsia" w:hAnsiTheme="minorEastAsia" w:cs="Arial" w:hint="eastAsia"/>
                <w:kern w:val="0"/>
                <w:szCs w:val="21"/>
                <w:bdr w:val="none" w:sz="0" w:space="0" w:color="auto" w:frame="1"/>
              </w:rPr>
              <w:t>股红利机会指数证券投资基金</w:t>
            </w:r>
            <w:r w:rsidRPr="004108DD">
              <w:rPr>
                <w:rFonts w:asciiTheme="minorEastAsia" w:hAnsiTheme="minorEastAsia" w:cs="Arial" w:hint="eastAsia"/>
                <w:kern w:val="0"/>
                <w:szCs w:val="21"/>
                <w:bdr w:val="none" w:sz="0" w:space="0" w:color="auto" w:frame="1"/>
              </w:rPr>
              <w:t>(LOF)</w:t>
            </w:r>
            <w:r w:rsidR="00717C31">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4108DD" w:rsidRDefault="004C1612" w:rsidP="00762C51">
            <w:pPr>
              <w:widowControl/>
              <w:spacing w:line="360" w:lineRule="auto"/>
              <w:jc w:val="center"/>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t>红利基金</w:t>
            </w:r>
            <w:r w:rsidR="00717C31">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4108DD" w:rsidRDefault="004C1612" w:rsidP="00762C51">
            <w:pPr>
              <w:widowControl/>
              <w:spacing w:line="360" w:lineRule="auto"/>
              <w:jc w:val="center"/>
              <w:textAlignment w:val="baseline"/>
              <w:rPr>
                <w:rFonts w:asciiTheme="minorEastAsia" w:hAnsiTheme="minorEastAsia" w:cs="Arial"/>
                <w:kern w:val="0"/>
                <w:szCs w:val="21"/>
              </w:rPr>
            </w:pPr>
            <w:r w:rsidRPr="004108DD">
              <w:rPr>
                <w:rFonts w:asciiTheme="minorEastAsia" w:hAnsiTheme="minorEastAsia" w:cs="Arial" w:hint="eastAsia"/>
                <w:kern w:val="0"/>
                <w:szCs w:val="21"/>
                <w:bdr w:val="none" w:sz="0" w:space="0" w:color="auto" w:frame="1"/>
              </w:rPr>
              <w:t>501029</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4108DD" w:rsidRDefault="004C1612" w:rsidP="00762C51">
            <w:pPr>
              <w:widowControl/>
              <w:spacing w:line="360" w:lineRule="auto"/>
              <w:jc w:val="left"/>
              <w:textAlignment w:val="baseline"/>
              <w:rPr>
                <w:rFonts w:asciiTheme="minorEastAsia" w:hAnsiTheme="minorEastAsia" w:cs="Arial"/>
                <w:kern w:val="0"/>
                <w:szCs w:val="21"/>
                <w:bdr w:val="none" w:sz="0" w:space="0" w:color="auto" w:frame="1"/>
              </w:rPr>
            </w:pPr>
            <w:r w:rsidRPr="004108DD">
              <w:rPr>
                <w:rFonts w:asciiTheme="minorEastAsia" w:hAnsiTheme="minorEastAsia" w:cs="Arial" w:hint="eastAsia"/>
                <w:kern w:val="0"/>
                <w:szCs w:val="21"/>
                <w:bdr w:val="none" w:sz="0" w:space="0" w:color="auto" w:frame="1"/>
              </w:rPr>
              <w:t>华宝中证医疗交易型开放式指数证券投资基金联接基金</w:t>
            </w:r>
            <w:r w:rsidR="00717C31">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4108DD" w:rsidRDefault="004C1612" w:rsidP="00762C51">
            <w:pPr>
              <w:widowControl/>
              <w:spacing w:line="360" w:lineRule="auto"/>
              <w:jc w:val="center"/>
              <w:textAlignment w:val="baseline"/>
              <w:rPr>
                <w:rFonts w:asciiTheme="minorEastAsia" w:hAnsiTheme="minorEastAsia" w:cs="Arial"/>
                <w:kern w:val="0"/>
                <w:szCs w:val="21"/>
                <w:bdr w:val="none" w:sz="0" w:space="0" w:color="auto" w:frame="1"/>
              </w:rPr>
            </w:pPr>
            <w:r w:rsidRPr="004108DD">
              <w:rPr>
                <w:rFonts w:asciiTheme="minorEastAsia" w:hAnsiTheme="minorEastAsia" w:cs="Arial" w:hint="eastAsia"/>
                <w:kern w:val="0"/>
                <w:szCs w:val="21"/>
                <w:bdr w:val="none" w:sz="0" w:space="0" w:color="auto" w:frame="1"/>
              </w:rPr>
              <w:t>医疗</w:t>
            </w:r>
            <w:r w:rsidRPr="004108DD">
              <w:rPr>
                <w:rFonts w:asciiTheme="minorEastAsia" w:hAnsiTheme="minorEastAsia" w:cs="Arial" w:hint="eastAsia"/>
                <w:kern w:val="0"/>
                <w:szCs w:val="21"/>
                <w:bdr w:val="none" w:sz="0" w:space="0" w:color="auto" w:frame="1"/>
              </w:rPr>
              <w:t>ETF</w:t>
            </w:r>
            <w:r w:rsidRPr="004108DD">
              <w:rPr>
                <w:rFonts w:asciiTheme="minorEastAsia" w:hAnsiTheme="minorEastAsia" w:cs="Arial" w:hint="eastAsia"/>
                <w:kern w:val="0"/>
                <w:szCs w:val="21"/>
                <w:bdr w:val="none" w:sz="0" w:space="0" w:color="auto" w:frame="1"/>
              </w:rPr>
              <w:t>联接</w:t>
            </w:r>
            <w:r w:rsidRPr="004108DD">
              <w:rPr>
                <w:rFonts w:asciiTheme="minorEastAsia" w:hAnsiTheme="minorEastAsia" w:cs="Arial" w:hint="eastAsia"/>
                <w:kern w:val="0"/>
                <w:szCs w:val="21"/>
                <w:bdr w:val="none" w:sz="0" w:space="0" w:color="auto" w:frame="1"/>
              </w:rPr>
              <w:t>A</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4108DD" w:rsidRDefault="004C1612" w:rsidP="00762C51">
            <w:pPr>
              <w:widowControl/>
              <w:spacing w:line="360" w:lineRule="auto"/>
              <w:jc w:val="center"/>
              <w:textAlignment w:val="baseline"/>
              <w:rPr>
                <w:rFonts w:asciiTheme="minorEastAsia" w:hAnsiTheme="minorEastAsia" w:cs="Arial"/>
                <w:kern w:val="0"/>
                <w:szCs w:val="21"/>
                <w:bdr w:val="none" w:sz="0" w:space="0" w:color="auto" w:frame="1"/>
              </w:rPr>
            </w:pPr>
            <w:r w:rsidRPr="00717C31">
              <w:rPr>
                <w:rFonts w:asciiTheme="minorEastAsia" w:hAnsiTheme="minorEastAsia" w:cs="Arial"/>
                <w:kern w:val="0"/>
                <w:szCs w:val="21"/>
                <w:bdr w:val="none" w:sz="0" w:space="0" w:color="auto" w:frame="1"/>
              </w:rPr>
              <w:t>162412</w:t>
            </w:r>
          </w:p>
        </w:tc>
      </w:tr>
      <w:tr w:rsidR="00A0427C" w:rsidTr="00A438F4">
        <w:trPr>
          <w:trHeight w:val="53"/>
          <w:jc w:val="center"/>
        </w:trPr>
        <w:tc>
          <w:tcPr>
            <w:tcW w:w="566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D512DE" w:rsidRDefault="004C1612" w:rsidP="00762C51">
            <w:pPr>
              <w:widowControl/>
              <w:spacing w:line="360" w:lineRule="auto"/>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华宝港股通恒生中国（香港上市）</w:t>
            </w:r>
            <w:r w:rsidRPr="00D512DE">
              <w:rPr>
                <w:rFonts w:asciiTheme="minorEastAsia" w:hAnsiTheme="minorEastAsia" w:cs="Arial" w:hint="eastAsia"/>
                <w:kern w:val="0"/>
                <w:szCs w:val="21"/>
                <w:bdr w:val="none" w:sz="0" w:space="0" w:color="auto" w:frame="1"/>
              </w:rPr>
              <w:t>25</w:t>
            </w:r>
            <w:r w:rsidRPr="00D512DE">
              <w:rPr>
                <w:rFonts w:asciiTheme="minorEastAsia" w:hAnsiTheme="minorEastAsia" w:cs="Arial" w:hint="eastAsia"/>
                <w:kern w:val="0"/>
                <w:szCs w:val="21"/>
                <w:bdr w:val="none" w:sz="0" w:space="0" w:color="auto" w:frame="1"/>
              </w:rPr>
              <w:t>指数证券投资基金（</w:t>
            </w:r>
            <w:r w:rsidRPr="00D512DE">
              <w:rPr>
                <w:rFonts w:asciiTheme="minorEastAsia" w:hAnsiTheme="minorEastAsia" w:cs="Arial" w:hint="eastAsia"/>
                <w:kern w:val="0"/>
                <w:szCs w:val="21"/>
                <w:bdr w:val="none" w:sz="0" w:space="0" w:color="auto" w:frame="1"/>
              </w:rPr>
              <w:t>LOF</w:t>
            </w:r>
            <w:r w:rsidRPr="00D512DE">
              <w:rPr>
                <w:rFonts w:asciiTheme="minorEastAsia" w:hAnsiTheme="minorEastAsia" w:cs="Arial" w:hint="eastAsia"/>
                <w:kern w:val="0"/>
                <w:szCs w:val="21"/>
                <w:bdr w:val="none" w:sz="0" w:space="0" w:color="auto" w:frame="1"/>
              </w:rPr>
              <w:t>）</w:t>
            </w:r>
            <w:r w:rsidR="00FB3B3D">
              <w:rPr>
                <w:rFonts w:asciiTheme="minorEastAsia" w:hAnsiTheme="minorEastAsia" w:cs="Arial" w:hint="eastAsia"/>
                <w:kern w:val="0"/>
                <w:szCs w:val="21"/>
                <w:bdr w:val="none" w:sz="0" w:space="0" w:color="auto" w:frame="1"/>
              </w:rPr>
              <w:t>A类</w:t>
            </w:r>
          </w:p>
        </w:tc>
        <w:tc>
          <w:tcPr>
            <w:tcW w:w="170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D512DE" w:rsidRDefault="004C1612" w:rsidP="00762C51">
            <w:pPr>
              <w:widowControl/>
              <w:spacing w:line="360" w:lineRule="auto"/>
              <w:jc w:val="center"/>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香港大盘</w:t>
            </w:r>
            <w:r w:rsidR="00FB3B3D">
              <w:rPr>
                <w:rFonts w:asciiTheme="minorEastAsia" w:hAnsiTheme="minorEastAsia" w:cs="Arial" w:hint="eastAsia"/>
                <w:kern w:val="0"/>
                <w:szCs w:val="21"/>
                <w:bdr w:val="none" w:sz="0" w:space="0" w:color="auto" w:frame="1"/>
              </w:rPr>
              <w:t xml:space="preserve">A </w:t>
            </w:r>
          </w:p>
        </w:tc>
        <w:tc>
          <w:tcPr>
            <w:tcW w:w="1557"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762C51" w:rsidRPr="00D512DE" w:rsidRDefault="004C1612" w:rsidP="00762C51">
            <w:pPr>
              <w:widowControl/>
              <w:spacing w:line="360" w:lineRule="auto"/>
              <w:jc w:val="center"/>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501301</w:t>
            </w:r>
          </w:p>
        </w:tc>
      </w:tr>
      <w:tr w:rsidR="00A0427C" w:rsidTr="00A438F4">
        <w:trPr>
          <w:trHeight w:val="53"/>
          <w:jc w:val="center"/>
        </w:trPr>
        <w:tc>
          <w:tcPr>
            <w:tcW w:w="5665"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tcPr>
          <w:p w:rsidR="00762C51" w:rsidRPr="00D512DE" w:rsidRDefault="004C1612" w:rsidP="00762C51">
            <w:pPr>
              <w:widowControl/>
              <w:spacing w:line="360" w:lineRule="auto"/>
              <w:jc w:val="left"/>
              <w:textAlignment w:val="baseline"/>
              <w:rPr>
                <w:rFonts w:asciiTheme="minorEastAsia" w:hAnsiTheme="minorEastAsia" w:cs="Arial"/>
                <w:kern w:val="0"/>
                <w:szCs w:val="21"/>
                <w:bdr w:val="none" w:sz="0" w:space="0" w:color="auto" w:frame="1"/>
              </w:rPr>
            </w:pPr>
            <w:r w:rsidRPr="00D512DE">
              <w:rPr>
                <w:rFonts w:asciiTheme="minorEastAsia" w:hAnsiTheme="minorEastAsia" w:cs="Arial" w:hint="eastAsia"/>
                <w:kern w:val="0"/>
                <w:szCs w:val="21"/>
                <w:bdr w:val="none" w:sz="0" w:space="0" w:color="auto" w:frame="1"/>
              </w:rPr>
              <w:t>华宝标普沪港深中国增强价值指数证券投资基金（</w:t>
            </w:r>
            <w:r w:rsidRPr="00D512DE">
              <w:rPr>
                <w:rFonts w:asciiTheme="minorEastAsia" w:hAnsiTheme="minorEastAsia" w:cs="Arial" w:hint="eastAsia"/>
                <w:kern w:val="0"/>
                <w:szCs w:val="21"/>
                <w:bdr w:val="none" w:sz="0" w:space="0" w:color="auto" w:frame="1"/>
              </w:rPr>
              <w:t>LOF</w:t>
            </w:r>
            <w:r w:rsidRPr="00D512DE">
              <w:rPr>
                <w:rFonts w:asciiTheme="minorEastAsia" w:hAnsiTheme="minorEastAsia" w:cs="Arial" w:hint="eastAsia"/>
                <w:kern w:val="0"/>
                <w:szCs w:val="21"/>
                <w:bdr w:val="none" w:sz="0" w:space="0" w:color="auto" w:frame="1"/>
              </w:rPr>
              <w:t>）</w:t>
            </w:r>
            <w:r w:rsidR="00CB5D18">
              <w:rPr>
                <w:rFonts w:asciiTheme="minorEastAsia" w:hAnsiTheme="minorEastAsia" w:cs="Arial" w:hint="eastAsia"/>
                <w:kern w:val="0"/>
                <w:szCs w:val="21"/>
                <w:bdr w:val="none" w:sz="0" w:space="0" w:color="auto" w:frame="1"/>
              </w:rPr>
              <w:t>A类</w:t>
            </w:r>
          </w:p>
        </w:tc>
        <w:tc>
          <w:tcPr>
            <w:tcW w:w="1701"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762C51" w:rsidRPr="00D512DE"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CB5D18">
              <w:rPr>
                <w:rFonts w:asciiTheme="minorEastAsia" w:hAnsiTheme="minorEastAsia" w:cs="Arial" w:hint="eastAsia"/>
                <w:kern w:val="0"/>
                <w:szCs w:val="21"/>
                <w:bdr w:val="none" w:sz="0" w:space="0" w:color="auto" w:frame="1"/>
              </w:rPr>
              <w:t>价值基金</w:t>
            </w:r>
            <w:r w:rsidRPr="00CB5D18">
              <w:rPr>
                <w:rFonts w:asciiTheme="minorEastAsia" w:hAnsiTheme="minorEastAsia" w:cs="Arial" w:hint="eastAsia"/>
                <w:kern w:val="0"/>
                <w:szCs w:val="21"/>
                <w:bdr w:val="none" w:sz="0" w:space="0" w:color="auto" w:frame="1"/>
              </w:rPr>
              <w:t>A</w:t>
            </w:r>
          </w:p>
        </w:tc>
        <w:tc>
          <w:tcPr>
            <w:tcW w:w="1557"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762C51" w:rsidRPr="00D512DE"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D512DE">
              <w:rPr>
                <w:rFonts w:asciiTheme="minorEastAsia" w:hAnsiTheme="minorEastAsia" w:cs="Arial"/>
                <w:kern w:val="0"/>
                <w:szCs w:val="21"/>
                <w:bdr w:val="none" w:sz="0" w:space="0" w:color="auto" w:frame="1"/>
              </w:rPr>
              <w:t>501310</w:t>
            </w:r>
          </w:p>
        </w:tc>
      </w:tr>
      <w:tr w:rsidR="00A0427C" w:rsidTr="00A438F4">
        <w:trPr>
          <w:trHeight w:val="53"/>
          <w:jc w:val="center"/>
        </w:trPr>
        <w:tc>
          <w:tcPr>
            <w:tcW w:w="5665" w:type="dxa"/>
            <w:tcBorders>
              <w:top w:val="nil"/>
              <w:left w:val="single" w:sz="6" w:space="0" w:color="000000"/>
              <w:bottom w:val="single" w:sz="4" w:space="0" w:color="auto"/>
              <w:right w:val="single" w:sz="6" w:space="0" w:color="000000"/>
            </w:tcBorders>
            <w:shd w:val="clear" w:color="auto" w:fill="FFFFFF"/>
            <w:tcMar>
              <w:top w:w="0" w:type="dxa"/>
              <w:left w:w="105" w:type="dxa"/>
              <w:bottom w:w="0" w:type="dxa"/>
              <w:right w:w="105" w:type="dxa"/>
            </w:tcMar>
            <w:vAlign w:val="center"/>
          </w:tcPr>
          <w:p w:rsidR="00F37F2C" w:rsidRPr="00D512DE" w:rsidRDefault="004C1612" w:rsidP="00762C51">
            <w:pPr>
              <w:widowControl/>
              <w:spacing w:line="360" w:lineRule="auto"/>
              <w:jc w:val="left"/>
              <w:textAlignment w:val="baseline"/>
              <w:rPr>
                <w:rFonts w:asciiTheme="minorEastAsia" w:hAnsiTheme="minorEastAsia" w:cs="Arial"/>
                <w:kern w:val="0"/>
                <w:szCs w:val="21"/>
                <w:bdr w:val="none" w:sz="0" w:space="0" w:color="auto" w:frame="1"/>
              </w:rPr>
            </w:pPr>
            <w:r w:rsidRPr="009F41E3">
              <w:rPr>
                <w:rFonts w:asciiTheme="minorEastAsia" w:hAnsiTheme="minorEastAsia" w:cs="Arial" w:hint="eastAsia"/>
                <w:kern w:val="0"/>
                <w:szCs w:val="21"/>
                <w:bdr w:val="none" w:sz="0" w:space="0" w:color="auto" w:frame="1"/>
              </w:rPr>
              <w:t>华宝中证电子</w:t>
            </w:r>
            <w:r w:rsidRPr="009F41E3">
              <w:rPr>
                <w:rFonts w:asciiTheme="minorEastAsia" w:hAnsiTheme="minorEastAsia" w:cs="Arial" w:hint="eastAsia"/>
                <w:kern w:val="0"/>
                <w:szCs w:val="21"/>
                <w:bdr w:val="none" w:sz="0" w:space="0" w:color="auto" w:frame="1"/>
              </w:rPr>
              <w:t>50</w:t>
            </w:r>
            <w:r w:rsidRPr="009F41E3">
              <w:rPr>
                <w:rFonts w:asciiTheme="minorEastAsia" w:hAnsiTheme="minorEastAsia" w:cs="Arial" w:hint="eastAsia"/>
                <w:kern w:val="0"/>
                <w:szCs w:val="21"/>
                <w:bdr w:val="none" w:sz="0" w:space="0" w:color="auto" w:frame="1"/>
              </w:rPr>
              <w:t>交易型开放式指数证券投资基金发起式联接基金</w:t>
            </w:r>
            <w:r w:rsidR="00717C31">
              <w:rPr>
                <w:rFonts w:asciiTheme="minorEastAsia" w:hAnsiTheme="minorEastAsia" w:cs="Arial" w:hint="eastAsia"/>
                <w:kern w:val="0"/>
                <w:szCs w:val="21"/>
                <w:bdr w:val="none" w:sz="0" w:space="0" w:color="auto" w:frame="1"/>
              </w:rPr>
              <w:t>A类</w:t>
            </w:r>
          </w:p>
        </w:tc>
        <w:tc>
          <w:tcPr>
            <w:tcW w:w="1701"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F37F2C" w:rsidRPr="00CB5D18"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9F41E3">
              <w:rPr>
                <w:rFonts w:asciiTheme="minorEastAsia" w:hAnsiTheme="minorEastAsia" w:cs="Arial" w:hint="eastAsia"/>
                <w:kern w:val="0"/>
                <w:szCs w:val="21"/>
                <w:bdr w:val="none" w:sz="0" w:space="0" w:color="auto" w:frame="1"/>
              </w:rPr>
              <w:t>电子</w:t>
            </w:r>
            <w:r w:rsidRPr="009F41E3">
              <w:rPr>
                <w:rFonts w:asciiTheme="minorEastAsia" w:hAnsiTheme="minorEastAsia" w:cs="Arial" w:hint="eastAsia"/>
                <w:kern w:val="0"/>
                <w:szCs w:val="21"/>
                <w:bdr w:val="none" w:sz="0" w:space="0" w:color="auto" w:frame="1"/>
              </w:rPr>
              <w:t>ETF</w:t>
            </w:r>
            <w:r w:rsidRPr="009F41E3">
              <w:rPr>
                <w:rFonts w:asciiTheme="minorEastAsia" w:hAnsiTheme="minorEastAsia" w:cs="Arial" w:hint="eastAsia"/>
                <w:kern w:val="0"/>
                <w:szCs w:val="21"/>
                <w:bdr w:val="none" w:sz="0" w:space="0" w:color="auto" w:frame="1"/>
              </w:rPr>
              <w:t>联接</w:t>
            </w:r>
            <w:r w:rsidRPr="009F41E3">
              <w:rPr>
                <w:rFonts w:asciiTheme="minorEastAsia" w:hAnsiTheme="minorEastAsia" w:cs="Arial" w:hint="eastAsia"/>
                <w:kern w:val="0"/>
                <w:szCs w:val="21"/>
                <w:bdr w:val="none" w:sz="0" w:space="0" w:color="auto" w:frame="1"/>
              </w:rPr>
              <w:t>A</w:t>
            </w:r>
          </w:p>
        </w:tc>
        <w:tc>
          <w:tcPr>
            <w:tcW w:w="1557"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tcPr>
          <w:p w:rsidR="00F37F2C" w:rsidRPr="00D512DE"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0</w:t>
            </w:r>
            <w:r>
              <w:rPr>
                <w:rFonts w:asciiTheme="minorEastAsia" w:hAnsiTheme="minorEastAsia" w:cs="Arial"/>
                <w:kern w:val="0"/>
                <w:szCs w:val="21"/>
                <w:bdr w:val="none" w:sz="0" w:space="0" w:color="auto" w:frame="1"/>
              </w:rPr>
              <w:t>12550</w:t>
            </w:r>
          </w:p>
        </w:tc>
      </w:tr>
      <w:tr w:rsidR="00A0427C" w:rsidTr="00A438F4">
        <w:trPr>
          <w:trHeight w:val="53"/>
          <w:jc w:val="center"/>
        </w:trPr>
        <w:tc>
          <w:tcPr>
            <w:tcW w:w="56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3209A" w:rsidRPr="00D512DE" w:rsidRDefault="004C1612" w:rsidP="00FE071A">
            <w:pPr>
              <w:widowControl/>
              <w:spacing w:line="360" w:lineRule="auto"/>
              <w:jc w:val="left"/>
              <w:textAlignment w:val="baseline"/>
              <w:rPr>
                <w:rFonts w:asciiTheme="minorEastAsia" w:hAnsiTheme="minorEastAsia" w:cs="Arial"/>
                <w:kern w:val="0"/>
                <w:szCs w:val="21"/>
                <w:bdr w:val="none" w:sz="0" w:space="0" w:color="auto" w:frame="1"/>
              </w:rPr>
            </w:pPr>
            <w:r w:rsidRPr="00F15869">
              <w:rPr>
                <w:rFonts w:asciiTheme="minorEastAsia" w:hAnsiTheme="minorEastAsia" w:cs="Arial" w:hint="eastAsia"/>
                <w:kern w:val="0"/>
                <w:szCs w:val="21"/>
                <w:bdr w:val="none" w:sz="0" w:space="0" w:color="auto" w:frame="1"/>
              </w:rPr>
              <w:t>华宝标普石油天然气上游股票指数证券投资基金（</w:t>
            </w:r>
            <w:r w:rsidRPr="00F15869">
              <w:rPr>
                <w:rFonts w:asciiTheme="minorEastAsia" w:hAnsiTheme="minorEastAsia" w:cs="Arial" w:hint="eastAsia"/>
                <w:kern w:val="0"/>
                <w:szCs w:val="21"/>
                <w:bdr w:val="none" w:sz="0" w:space="0" w:color="auto" w:frame="1"/>
              </w:rPr>
              <w:t>LOF</w:t>
            </w:r>
            <w:r w:rsidRPr="00F15869">
              <w:rPr>
                <w:rFonts w:asciiTheme="minorEastAsia" w:hAnsiTheme="minorEastAsia" w:cs="Arial" w:hint="eastAsia"/>
                <w:kern w:val="0"/>
                <w:szCs w:val="21"/>
                <w:bdr w:val="none" w:sz="0" w:space="0" w:color="auto" w:frame="1"/>
              </w:rPr>
              <w:t>）</w:t>
            </w:r>
            <w:r w:rsidR="00F43E41">
              <w:rPr>
                <w:rFonts w:asciiTheme="minorEastAsia" w:hAnsiTheme="minorEastAsia" w:cs="Arial" w:hint="eastAsia"/>
                <w:kern w:val="0"/>
                <w:szCs w:val="21"/>
                <w:bdr w:val="none" w:sz="0" w:space="0" w:color="auto" w:frame="1"/>
              </w:rPr>
              <w:t>A类</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3209A" w:rsidRPr="00D512DE"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华宝油气</w:t>
            </w:r>
            <w:r w:rsidR="00F43E41">
              <w:rPr>
                <w:rFonts w:asciiTheme="minorEastAsia" w:hAnsiTheme="minorEastAsia" w:cs="Arial" w:hint="eastAsia"/>
                <w:kern w:val="0"/>
                <w:szCs w:val="21"/>
                <w:bdr w:val="none" w:sz="0" w:space="0" w:color="auto" w:frame="1"/>
              </w:rPr>
              <w:t>A</w:t>
            </w:r>
          </w:p>
        </w:tc>
        <w:tc>
          <w:tcPr>
            <w:tcW w:w="15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3209A" w:rsidRPr="00D512DE"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F15869">
              <w:rPr>
                <w:rFonts w:asciiTheme="minorEastAsia" w:hAnsiTheme="minorEastAsia" w:cs="Arial"/>
                <w:kern w:val="0"/>
                <w:szCs w:val="21"/>
                <w:bdr w:val="none" w:sz="0" w:space="0" w:color="auto" w:frame="1"/>
              </w:rPr>
              <w:t>162411</w:t>
            </w:r>
          </w:p>
        </w:tc>
      </w:tr>
      <w:tr w:rsidR="00A0427C" w:rsidTr="00A438F4">
        <w:trPr>
          <w:trHeight w:val="53"/>
          <w:jc w:val="center"/>
        </w:trPr>
        <w:tc>
          <w:tcPr>
            <w:tcW w:w="56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Pr="00F15869" w:rsidRDefault="004C1612" w:rsidP="00FE071A">
            <w:pPr>
              <w:widowControl/>
              <w:spacing w:line="360" w:lineRule="auto"/>
              <w:jc w:val="left"/>
              <w:textAlignment w:val="baseline"/>
              <w:rPr>
                <w:rFonts w:asciiTheme="minorEastAsia" w:hAnsiTheme="minorEastAsia" w:cs="Arial"/>
                <w:kern w:val="0"/>
                <w:szCs w:val="21"/>
                <w:bdr w:val="none" w:sz="0" w:space="0" w:color="auto" w:frame="1"/>
              </w:rPr>
            </w:pPr>
            <w:r w:rsidRPr="00945FB0">
              <w:rPr>
                <w:rFonts w:asciiTheme="minorEastAsia" w:hAnsiTheme="minorEastAsia" w:cs="Arial" w:hint="eastAsia"/>
                <w:kern w:val="0"/>
                <w:szCs w:val="21"/>
                <w:bdr w:val="none" w:sz="0" w:space="0" w:color="auto" w:frame="1"/>
              </w:rPr>
              <w:t>华宝可转债债券型证券投资基金</w:t>
            </w:r>
            <w:r w:rsidR="00717C31">
              <w:rPr>
                <w:rFonts w:asciiTheme="minorEastAsia" w:hAnsiTheme="minorEastAsia" w:cs="Arial" w:hint="eastAsia"/>
                <w:kern w:val="0"/>
                <w:szCs w:val="21"/>
                <w:bdr w:val="none" w:sz="0" w:space="0" w:color="auto" w:frame="1"/>
              </w:rPr>
              <w:t>A类</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可转债</w:t>
            </w:r>
            <w:r>
              <w:rPr>
                <w:rFonts w:asciiTheme="minorEastAsia" w:hAnsiTheme="minorEastAsia" w:cs="Arial" w:hint="eastAsia"/>
                <w:kern w:val="0"/>
                <w:szCs w:val="21"/>
                <w:bdr w:val="none" w:sz="0" w:space="0" w:color="auto" w:frame="1"/>
              </w:rPr>
              <w:t>A</w:t>
            </w:r>
          </w:p>
        </w:tc>
        <w:tc>
          <w:tcPr>
            <w:tcW w:w="15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Pr="00F15869"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2</w:t>
            </w:r>
            <w:r>
              <w:rPr>
                <w:rFonts w:asciiTheme="minorEastAsia" w:hAnsiTheme="minorEastAsia" w:cs="Arial"/>
                <w:kern w:val="0"/>
                <w:szCs w:val="21"/>
                <w:bdr w:val="none" w:sz="0" w:space="0" w:color="auto" w:frame="1"/>
              </w:rPr>
              <w:t>40018</w:t>
            </w:r>
          </w:p>
        </w:tc>
      </w:tr>
      <w:tr w:rsidR="00A0427C" w:rsidTr="00A438F4">
        <w:trPr>
          <w:trHeight w:val="53"/>
          <w:jc w:val="center"/>
        </w:trPr>
        <w:tc>
          <w:tcPr>
            <w:tcW w:w="56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Pr="00F15869" w:rsidRDefault="004C1612" w:rsidP="00FE071A">
            <w:pPr>
              <w:widowControl/>
              <w:spacing w:line="360" w:lineRule="auto"/>
              <w:jc w:val="left"/>
              <w:textAlignment w:val="baseline"/>
              <w:rPr>
                <w:rFonts w:asciiTheme="minorEastAsia" w:hAnsiTheme="minorEastAsia" w:cs="Arial"/>
                <w:kern w:val="0"/>
                <w:szCs w:val="21"/>
                <w:bdr w:val="none" w:sz="0" w:space="0" w:color="auto" w:frame="1"/>
              </w:rPr>
            </w:pPr>
            <w:r w:rsidRPr="00945FB0">
              <w:rPr>
                <w:rFonts w:asciiTheme="minorEastAsia" w:hAnsiTheme="minorEastAsia" w:cs="Arial" w:hint="eastAsia"/>
                <w:kern w:val="0"/>
                <w:szCs w:val="21"/>
                <w:bdr w:val="none" w:sz="0" w:space="0" w:color="auto" w:frame="1"/>
              </w:rPr>
              <w:t>华宝海外科技股票型证券投资基金（</w:t>
            </w:r>
            <w:r w:rsidRPr="00945FB0">
              <w:rPr>
                <w:rFonts w:asciiTheme="minorEastAsia" w:hAnsiTheme="minorEastAsia" w:cs="Arial" w:hint="eastAsia"/>
                <w:kern w:val="0"/>
                <w:szCs w:val="21"/>
                <w:bdr w:val="none" w:sz="0" w:space="0" w:color="auto" w:frame="1"/>
              </w:rPr>
              <w:t>QDII-LOF</w:t>
            </w:r>
            <w:r w:rsidRPr="00945FB0">
              <w:rPr>
                <w:rFonts w:asciiTheme="minorEastAsia" w:hAnsiTheme="minorEastAsia" w:cs="Arial" w:hint="eastAsia"/>
                <w:kern w:val="0"/>
                <w:szCs w:val="21"/>
                <w:bdr w:val="none" w:sz="0" w:space="0" w:color="auto" w:frame="1"/>
              </w:rPr>
              <w:t>）</w:t>
            </w:r>
            <w:r w:rsidR="00F43E41">
              <w:rPr>
                <w:rFonts w:asciiTheme="minorEastAsia" w:hAnsiTheme="minorEastAsia" w:cs="Arial" w:hint="eastAsia"/>
                <w:kern w:val="0"/>
                <w:szCs w:val="21"/>
                <w:bdr w:val="none" w:sz="0" w:space="0" w:color="auto" w:frame="1"/>
              </w:rPr>
              <w:t>A类</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海外科技</w:t>
            </w:r>
            <w:r w:rsidR="00F43E41">
              <w:rPr>
                <w:rFonts w:asciiTheme="minorEastAsia" w:hAnsiTheme="minorEastAsia" w:cs="Arial" w:hint="eastAsia"/>
                <w:kern w:val="0"/>
                <w:szCs w:val="21"/>
                <w:bdr w:val="none" w:sz="0" w:space="0" w:color="auto" w:frame="1"/>
              </w:rPr>
              <w:t>A</w:t>
            </w:r>
          </w:p>
        </w:tc>
        <w:tc>
          <w:tcPr>
            <w:tcW w:w="15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Pr="00F15869"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5</w:t>
            </w:r>
            <w:r>
              <w:rPr>
                <w:rFonts w:asciiTheme="minorEastAsia" w:hAnsiTheme="minorEastAsia" w:cs="Arial"/>
                <w:kern w:val="0"/>
                <w:szCs w:val="21"/>
                <w:bdr w:val="none" w:sz="0" w:space="0" w:color="auto" w:frame="1"/>
              </w:rPr>
              <w:t>01312</w:t>
            </w:r>
          </w:p>
        </w:tc>
      </w:tr>
      <w:tr w:rsidR="00A0427C" w:rsidTr="00A438F4">
        <w:trPr>
          <w:trHeight w:val="53"/>
          <w:jc w:val="center"/>
        </w:trPr>
        <w:tc>
          <w:tcPr>
            <w:tcW w:w="56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Pr="00F15869" w:rsidRDefault="004C1612" w:rsidP="00FE071A">
            <w:pPr>
              <w:widowControl/>
              <w:spacing w:line="360" w:lineRule="auto"/>
              <w:jc w:val="left"/>
              <w:textAlignment w:val="baseline"/>
              <w:rPr>
                <w:rFonts w:asciiTheme="minorEastAsia" w:hAnsiTheme="minorEastAsia" w:cs="Arial"/>
                <w:kern w:val="0"/>
                <w:szCs w:val="21"/>
                <w:bdr w:val="none" w:sz="0" w:space="0" w:color="auto" w:frame="1"/>
              </w:rPr>
            </w:pPr>
            <w:r w:rsidRPr="00945FB0">
              <w:rPr>
                <w:rFonts w:asciiTheme="minorEastAsia" w:hAnsiTheme="minorEastAsia" w:cs="Arial" w:hint="eastAsia"/>
                <w:kern w:val="0"/>
                <w:szCs w:val="21"/>
                <w:bdr w:val="none" w:sz="0" w:space="0" w:color="auto" w:frame="1"/>
              </w:rPr>
              <w:t>华宝宝通</w:t>
            </w:r>
            <w:r w:rsidRPr="00945FB0">
              <w:rPr>
                <w:rFonts w:asciiTheme="minorEastAsia" w:hAnsiTheme="minorEastAsia" w:cs="Arial" w:hint="eastAsia"/>
                <w:kern w:val="0"/>
                <w:szCs w:val="21"/>
                <w:bdr w:val="none" w:sz="0" w:space="0" w:color="auto" w:frame="1"/>
              </w:rPr>
              <w:t>30</w:t>
            </w:r>
            <w:r w:rsidRPr="00945FB0">
              <w:rPr>
                <w:rFonts w:asciiTheme="minorEastAsia" w:hAnsiTheme="minorEastAsia" w:cs="Arial" w:hint="eastAsia"/>
                <w:kern w:val="0"/>
                <w:szCs w:val="21"/>
                <w:bdr w:val="none" w:sz="0" w:space="0" w:color="auto" w:frame="1"/>
              </w:rPr>
              <w:t>天持有期短债债券型证券投资基金</w:t>
            </w:r>
            <w:r w:rsidR="00717C31">
              <w:rPr>
                <w:rFonts w:asciiTheme="minorEastAsia" w:hAnsiTheme="minorEastAsia" w:cs="Arial" w:hint="eastAsia"/>
                <w:kern w:val="0"/>
                <w:szCs w:val="21"/>
                <w:bdr w:val="none" w:sz="0" w:space="0" w:color="auto" w:frame="1"/>
              </w:rPr>
              <w:t>A类</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宝通短债</w:t>
            </w:r>
            <w:r w:rsidR="00717C31">
              <w:rPr>
                <w:rFonts w:asciiTheme="minorEastAsia" w:hAnsiTheme="minorEastAsia" w:cs="Arial" w:hint="eastAsia"/>
                <w:kern w:val="0"/>
                <w:szCs w:val="21"/>
                <w:bdr w:val="none" w:sz="0" w:space="0" w:color="auto" w:frame="1"/>
              </w:rPr>
              <w:t>A</w:t>
            </w:r>
          </w:p>
        </w:tc>
        <w:tc>
          <w:tcPr>
            <w:tcW w:w="15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Pr="00F15869"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0</w:t>
            </w:r>
            <w:r>
              <w:rPr>
                <w:rFonts w:asciiTheme="minorEastAsia" w:hAnsiTheme="minorEastAsia" w:cs="Arial"/>
                <w:kern w:val="0"/>
                <w:szCs w:val="21"/>
                <w:bdr w:val="none" w:sz="0" w:space="0" w:color="auto" w:frame="1"/>
              </w:rPr>
              <w:t>17100</w:t>
            </w:r>
          </w:p>
        </w:tc>
      </w:tr>
      <w:tr w:rsidR="00A0427C" w:rsidTr="00A438F4">
        <w:trPr>
          <w:trHeight w:val="53"/>
          <w:jc w:val="center"/>
        </w:trPr>
        <w:tc>
          <w:tcPr>
            <w:tcW w:w="56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Pr="00F15869" w:rsidRDefault="004C1612" w:rsidP="00FE071A">
            <w:pPr>
              <w:widowControl/>
              <w:spacing w:line="360" w:lineRule="auto"/>
              <w:jc w:val="left"/>
              <w:textAlignment w:val="baseline"/>
              <w:rPr>
                <w:rFonts w:asciiTheme="minorEastAsia" w:hAnsiTheme="minorEastAsia" w:cs="Arial"/>
                <w:kern w:val="0"/>
                <w:szCs w:val="21"/>
                <w:bdr w:val="none" w:sz="0" w:space="0" w:color="auto" w:frame="1"/>
              </w:rPr>
            </w:pPr>
            <w:r w:rsidRPr="00945FB0">
              <w:rPr>
                <w:rFonts w:asciiTheme="minorEastAsia" w:hAnsiTheme="minorEastAsia" w:cs="Arial" w:hint="eastAsia"/>
                <w:kern w:val="0"/>
                <w:szCs w:val="21"/>
                <w:bdr w:val="none" w:sz="0" w:space="0" w:color="auto" w:frame="1"/>
              </w:rPr>
              <w:t>华宝致远混合型证券投资基金（</w:t>
            </w:r>
            <w:r w:rsidRPr="00945FB0">
              <w:rPr>
                <w:rFonts w:asciiTheme="minorEastAsia" w:hAnsiTheme="minorEastAsia" w:cs="Arial" w:hint="eastAsia"/>
                <w:kern w:val="0"/>
                <w:szCs w:val="21"/>
                <w:bdr w:val="none" w:sz="0" w:space="0" w:color="auto" w:frame="1"/>
              </w:rPr>
              <w:t>QDII</w:t>
            </w:r>
            <w:r w:rsidRPr="00945FB0">
              <w:rPr>
                <w:rFonts w:asciiTheme="minorEastAsia" w:hAnsiTheme="minorEastAsia" w:cs="Arial" w:hint="eastAsia"/>
                <w:kern w:val="0"/>
                <w:szCs w:val="21"/>
                <w:bdr w:val="none" w:sz="0" w:space="0" w:color="auto" w:frame="1"/>
              </w:rPr>
              <w:t>）</w:t>
            </w:r>
            <w:r w:rsidR="00717C31">
              <w:rPr>
                <w:rFonts w:asciiTheme="minorEastAsia" w:hAnsiTheme="minorEastAsia" w:cs="Arial" w:hint="eastAsia"/>
                <w:kern w:val="0"/>
                <w:szCs w:val="21"/>
                <w:bdr w:val="none" w:sz="0" w:space="0" w:color="auto" w:frame="1"/>
              </w:rPr>
              <w:t>A类</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华宝致远</w:t>
            </w:r>
            <w:r w:rsidR="00717C31">
              <w:rPr>
                <w:rFonts w:asciiTheme="minorEastAsia" w:hAnsiTheme="minorEastAsia" w:cs="Arial" w:hint="eastAsia"/>
                <w:kern w:val="0"/>
                <w:szCs w:val="21"/>
                <w:bdr w:val="none" w:sz="0" w:space="0" w:color="auto" w:frame="1"/>
              </w:rPr>
              <w:t>A</w:t>
            </w:r>
          </w:p>
        </w:tc>
        <w:tc>
          <w:tcPr>
            <w:tcW w:w="15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Pr="00F15869"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0</w:t>
            </w:r>
            <w:r w:rsidR="00717C31">
              <w:rPr>
                <w:rFonts w:asciiTheme="minorEastAsia" w:hAnsiTheme="minorEastAsia" w:cs="Arial"/>
                <w:kern w:val="0"/>
                <w:szCs w:val="21"/>
                <w:bdr w:val="none" w:sz="0" w:space="0" w:color="auto" w:frame="1"/>
              </w:rPr>
              <w:t>08253</w:t>
            </w:r>
          </w:p>
        </w:tc>
      </w:tr>
      <w:tr w:rsidR="00A0427C" w:rsidTr="00A438F4">
        <w:trPr>
          <w:trHeight w:val="53"/>
          <w:jc w:val="center"/>
        </w:trPr>
        <w:tc>
          <w:tcPr>
            <w:tcW w:w="56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Pr="00F15869" w:rsidRDefault="004C1612" w:rsidP="00FE071A">
            <w:pPr>
              <w:widowControl/>
              <w:spacing w:line="360" w:lineRule="auto"/>
              <w:jc w:val="left"/>
              <w:textAlignment w:val="baseline"/>
              <w:rPr>
                <w:rFonts w:asciiTheme="minorEastAsia" w:hAnsiTheme="minorEastAsia" w:cs="Arial"/>
                <w:kern w:val="0"/>
                <w:szCs w:val="21"/>
                <w:bdr w:val="none" w:sz="0" w:space="0" w:color="auto" w:frame="1"/>
              </w:rPr>
            </w:pPr>
            <w:r w:rsidRPr="00945FB0">
              <w:rPr>
                <w:rFonts w:ascii="Arial" w:hAnsi="Arial" w:cs="Arial"/>
                <w:szCs w:val="18"/>
                <w:shd w:val="clear" w:color="auto" w:fill="FFFFFF"/>
              </w:rPr>
              <w:t>华宝纳斯达克精选股票型发起式证券投资基金（</w:t>
            </w:r>
            <w:r w:rsidRPr="00945FB0">
              <w:rPr>
                <w:rFonts w:ascii="Arial" w:hAnsi="Arial" w:cs="Arial"/>
                <w:szCs w:val="18"/>
                <w:shd w:val="clear" w:color="auto" w:fill="FFFFFF"/>
              </w:rPr>
              <w:t>QDII</w:t>
            </w:r>
            <w:r w:rsidRPr="00945FB0">
              <w:rPr>
                <w:rFonts w:ascii="Arial" w:hAnsi="Arial" w:cs="Arial"/>
                <w:szCs w:val="18"/>
                <w:shd w:val="clear" w:color="auto" w:fill="FFFFFF"/>
              </w:rPr>
              <w:t>）</w:t>
            </w:r>
            <w:r w:rsidR="00717C31">
              <w:rPr>
                <w:rFonts w:ascii="Arial" w:hAnsi="Arial" w:cs="Arial"/>
                <w:szCs w:val="18"/>
                <w:shd w:val="clear" w:color="auto" w:fill="FFFFFF"/>
              </w:rPr>
              <w:t>A</w:t>
            </w:r>
            <w:r w:rsidR="00717C31">
              <w:rPr>
                <w:rFonts w:ascii="Arial" w:hAnsi="Arial" w:cs="Arial"/>
                <w:szCs w:val="18"/>
                <w:shd w:val="clear" w:color="auto" w:fill="FFFFFF"/>
              </w:rPr>
              <w:t>类</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纳斯达克</w:t>
            </w:r>
            <w:r w:rsidR="00717C31">
              <w:rPr>
                <w:rFonts w:asciiTheme="minorEastAsia" w:hAnsiTheme="minorEastAsia" w:cs="Arial" w:hint="eastAsia"/>
                <w:kern w:val="0"/>
                <w:szCs w:val="21"/>
                <w:bdr w:val="none" w:sz="0" w:space="0" w:color="auto" w:frame="1"/>
              </w:rPr>
              <w:t>A</w:t>
            </w:r>
          </w:p>
        </w:tc>
        <w:tc>
          <w:tcPr>
            <w:tcW w:w="15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945FB0" w:rsidRPr="00F15869"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0</w:t>
            </w:r>
            <w:r>
              <w:rPr>
                <w:rFonts w:asciiTheme="minorEastAsia" w:hAnsiTheme="minorEastAsia" w:cs="Arial"/>
                <w:kern w:val="0"/>
                <w:szCs w:val="21"/>
                <w:bdr w:val="none" w:sz="0" w:space="0" w:color="auto" w:frame="1"/>
              </w:rPr>
              <w:t>17436</w:t>
            </w:r>
          </w:p>
        </w:tc>
      </w:tr>
      <w:tr w:rsidR="00A0427C" w:rsidTr="00A438F4">
        <w:trPr>
          <w:trHeight w:val="53"/>
          <w:jc w:val="center"/>
        </w:trPr>
        <w:tc>
          <w:tcPr>
            <w:tcW w:w="5665"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3209A" w:rsidRPr="00717C31" w:rsidRDefault="004C1612" w:rsidP="00762C51">
            <w:pPr>
              <w:widowControl/>
              <w:spacing w:line="360" w:lineRule="auto"/>
              <w:jc w:val="left"/>
              <w:textAlignment w:val="baseline"/>
              <w:rPr>
                <w:rFonts w:asciiTheme="minorEastAsia" w:hAnsiTheme="minorEastAsia" w:cs="Arial"/>
                <w:kern w:val="0"/>
                <w:szCs w:val="21"/>
                <w:bdr w:val="none" w:sz="0" w:space="0" w:color="auto" w:frame="1"/>
              </w:rPr>
            </w:pPr>
            <w:r w:rsidRPr="00F15869">
              <w:rPr>
                <w:rFonts w:asciiTheme="minorEastAsia" w:hAnsiTheme="minorEastAsia" w:cs="Arial" w:hint="eastAsia"/>
                <w:kern w:val="0"/>
                <w:szCs w:val="21"/>
                <w:bdr w:val="none" w:sz="0" w:space="0" w:color="auto" w:frame="1"/>
              </w:rPr>
              <w:t>华宝标普美国品质消费股票指数证券投资基金</w:t>
            </w:r>
            <w:r w:rsidRPr="00F15869">
              <w:rPr>
                <w:rFonts w:asciiTheme="minorEastAsia" w:hAnsiTheme="minorEastAsia" w:cs="Arial" w:hint="eastAsia"/>
                <w:kern w:val="0"/>
                <w:szCs w:val="21"/>
                <w:bdr w:val="none" w:sz="0" w:space="0" w:color="auto" w:frame="1"/>
              </w:rPr>
              <w:t>(LOF)</w:t>
            </w:r>
            <w:r w:rsidR="00F43E41">
              <w:rPr>
                <w:rFonts w:asciiTheme="minorEastAsia" w:hAnsiTheme="minorEastAsia" w:cs="Arial" w:hint="eastAsia"/>
                <w:kern w:val="0"/>
                <w:szCs w:val="21"/>
                <w:bdr w:val="none" w:sz="0" w:space="0" w:color="auto" w:frame="1"/>
              </w:rPr>
              <w:t>A类</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3209A" w:rsidRPr="00D512DE"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Pr>
                <w:rFonts w:asciiTheme="minorEastAsia" w:hAnsiTheme="minorEastAsia" w:cs="Arial" w:hint="eastAsia"/>
                <w:kern w:val="0"/>
                <w:szCs w:val="21"/>
                <w:bdr w:val="none" w:sz="0" w:space="0" w:color="auto" w:frame="1"/>
              </w:rPr>
              <w:t>美国消费</w:t>
            </w:r>
            <w:r w:rsidR="00F43E41">
              <w:rPr>
                <w:rFonts w:asciiTheme="minorEastAsia" w:hAnsiTheme="minorEastAsia" w:cs="Arial" w:hint="eastAsia"/>
                <w:kern w:val="0"/>
                <w:szCs w:val="21"/>
                <w:bdr w:val="none" w:sz="0" w:space="0" w:color="auto" w:frame="1"/>
              </w:rPr>
              <w:t>A</w:t>
            </w:r>
          </w:p>
        </w:tc>
        <w:tc>
          <w:tcPr>
            <w:tcW w:w="1557" w:type="dxa"/>
            <w:tcBorders>
              <w:top w:val="single" w:sz="4" w:space="0" w:color="auto"/>
              <w:left w:val="single" w:sz="4" w:space="0" w:color="auto"/>
              <w:bottom w:val="single" w:sz="4" w:space="0" w:color="auto"/>
              <w:right w:val="single" w:sz="4" w:space="0" w:color="auto"/>
            </w:tcBorders>
            <w:shd w:val="clear" w:color="auto" w:fill="FFFFFF"/>
            <w:tcMar>
              <w:top w:w="0" w:type="dxa"/>
              <w:left w:w="105" w:type="dxa"/>
              <w:bottom w:w="0" w:type="dxa"/>
              <w:right w:w="105" w:type="dxa"/>
            </w:tcMar>
            <w:vAlign w:val="center"/>
          </w:tcPr>
          <w:p w:rsidR="0073209A" w:rsidRPr="00D512DE" w:rsidRDefault="004C1612" w:rsidP="00762C51">
            <w:pPr>
              <w:widowControl/>
              <w:spacing w:beforeAutospacing="1" w:afterAutospacing="1" w:line="360" w:lineRule="auto"/>
              <w:jc w:val="center"/>
              <w:textAlignment w:val="baseline"/>
              <w:rPr>
                <w:rFonts w:asciiTheme="minorEastAsia" w:hAnsiTheme="minorEastAsia" w:cs="Arial"/>
                <w:kern w:val="0"/>
                <w:szCs w:val="21"/>
                <w:bdr w:val="none" w:sz="0" w:space="0" w:color="auto" w:frame="1"/>
              </w:rPr>
            </w:pPr>
            <w:r w:rsidRPr="00F15869">
              <w:rPr>
                <w:rFonts w:asciiTheme="minorEastAsia" w:hAnsiTheme="minorEastAsia" w:cs="Arial"/>
                <w:kern w:val="0"/>
                <w:szCs w:val="21"/>
                <w:bdr w:val="none" w:sz="0" w:space="0" w:color="auto" w:frame="1"/>
              </w:rPr>
              <w:t>162415</w:t>
            </w:r>
          </w:p>
        </w:tc>
      </w:tr>
    </w:tbl>
    <w:p w:rsidR="00F91650" w:rsidRPr="00D512DE" w:rsidRDefault="004C1612" w:rsidP="0066202F">
      <w:pPr>
        <w:widowControl/>
        <w:shd w:val="clear" w:color="auto" w:fill="FFFFFF"/>
        <w:spacing w:line="360" w:lineRule="auto"/>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二、费率优惠</w:t>
      </w:r>
    </w:p>
    <w:p w:rsidR="00F91650" w:rsidRPr="00D512DE" w:rsidRDefault="004C1612" w:rsidP="0066202F">
      <w:pPr>
        <w:widowControl/>
        <w:shd w:val="clear" w:color="auto" w:fill="FFFFFF"/>
        <w:spacing w:line="360" w:lineRule="auto"/>
        <w:ind w:firstLine="420"/>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1</w:t>
      </w:r>
      <w:r w:rsidRPr="00D512DE">
        <w:rPr>
          <w:rFonts w:asciiTheme="minorEastAsia" w:hAnsiTheme="minorEastAsia" w:cs="Arial" w:hint="eastAsia"/>
          <w:kern w:val="0"/>
          <w:szCs w:val="21"/>
          <w:bdr w:val="none" w:sz="0" w:space="0" w:color="auto" w:frame="1"/>
        </w:rPr>
        <w:t>、自</w:t>
      </w:r>
      <w:r w:rsidRPr="00D512DE">
        <w:rPr>
          <w:rFonts w:asciiTheme="minorEastAsia" w:hAnsiTheme="minorEastAsia" w:cs="Arial" w:hint="eastAsia"/>
          <w:kern w:val="0"/>
          <w:szCs w:val="21"/>
          <w:bdr w:val="none" w:sz="0" w:space="0" w:color="auto" w:frame="1"/>
        </w:rPr>
        <w:t>20</w:t>
      </w:r>
      <w:r w:rsidR="0003282C" w:rsidRPr="00D512DE">
        <w:rPr>
          <w:rFonts w:asciiTheme="minorEastAsia" w:hAnsiTheme="minorEastAsia" w:cs="Arial" w:hint="eastAsia"/>
          <w:kern w:val="0"/>
          <w:szCs w:val="21"/>
          <w:bdr w:val="none" w:sz="0" w:space="0" w:color="auto" w:frame="1"/>
        </w:rPr>
        <w:t>2</w:t>
      </w:r>
      <w:r w:rsidR="004669B6">
        <w:rPr>
          <w:rFonts w:asciiTheme="minorEastAsia" w:hAnsiTheme="minorEastAsia" w:cs="Arial"/>
          <w:kern w:val="0"/>
          <w:szCs w:val="21"/>
          <w:bdr w:val="none" w:sz="0" w:space="0" w:color="auto" w:frame="1"/>
        </w:rPr>
        <w:t>4</w:t>
      </w:r>
      <w:r w:rsidRPr="00D512DE">
        <w:rPr>
          <w:rFonts w:asciiTheme="minorEastAsia" w:hAnsiTheme="minorEastAsia" w:cs="Arial" w:hint="eastAsia"/>
          <w:kern w:val="0"/>
          <w:szCs w:val="21"/>
          <w:bdr w:val="none" w:sz="0" w:space="0" w:color="auto" w:frame="1"/>
        </w:rPr>
        <w:t>年</w:t>
      </w:r>
      <w:r w:rsidR="004669B6">
        <w:rPr>
          <w:rFonts w:asciiTheme="minorEastAsia" w:hAnsiTheme="minorEastAsia" w:cs="Arial"/>
          <w:kern w:val="0"/>
          <w:szCs w:val="21"/>
          <w:bdr w:val="none" w:sz="0" w:space="0" w:color="auto" w:frame="1"/>
        </w:rPr>
        <w:t>3</w:t>
      </w:r>
      <w:r w:rsidRPr="00D512DE">
        <w:rPr>
          <w:rFonts w:asciiTheme="minorEastAsia" w:hAnsiTheme="minorEastAsia" w:cs="Arial" w:hint="eastAsia"/>
          <w:kern w:val="0"/>
          <w:szCs w:val="21"/>
          <w:bdr w:val="none" w:sz="0" w:space="0" w:color="auto" w:frame="1"/>
        </w:rPr>
        <w:t>月</w:t>
      </w:r>
      <w:r w:rsidR="004669B6">
        <w:rPr>
          <w:rFonts w:asciiTheme="minorEastAsia" w:hAnsiTheme="minorEastAsia" w:cs="Arial"/>
          <w:kern w:val="0"/>
          <w:szCs w:val="21"/>
          <w:bdr w:val="none" w:sz="0" w:space="0" w:color="auto" w:frame="1"/>
        </w:rPr>
        <w:t>2</w:t>
      </w:r>
      <w:r w:rsidR="00813058">
        <w:rPr>
          <w:rFonts w:asciiTheme="minorEastAsia" w:hAnsiTheme="minorEastAsia" w:cs="Arial"/>
          <w:kern w:val="0"/>
          <w:szCs w:val="21"/>
          <w:bdr w:val="none" w:sz="0" w:space="0" w:color="auto" w:frame="1"/>
        </w:rPr>
        <w:t>7</w:t>
      </w:r>
      <w:r w:rsidRPr="00D512DE">
        <w:rPr>
          <w:rFonts w:asciiTheme="minorEastAsia" w:hAnsiTheme="minorEastAsia" w:cs="Arial" w:hint="eastAsia"/>
          <w:kern w:val="0"/>
          <w:szCs w:val="21"/>
          <w:bdr w:val="none" w:sz="0" w:space="0" w:color="auto" w:frame="1"/>
        </w:rPr>
        <w:t>日至</w:t>
      </w:r>
      <w:r w:rsidR="00323C05" w:rsidRPr="00D512DE">
        <w:rPr>
          <w:rFonts w:asciiTheme="minorEastAsia" w:hAnsiTheme="minorEastAsia" w:cs="Arial"/>
          <w:kern w:val="0"/>
          <w:szCs w:val="21"/>
          <w:bdr w:val="none" w:sz="0" w:space="0" w:color="auto" w:frame="1"/>
        </w:rPr>
        <w:t>202</w:t>
      </w:r>
      <w:r w:rsidR="004669B6">
        <w:rPr>
          <w:rFonts w:asciiTheme="minorEastAsia" w:hAnsiTheme="minorEastAsia" w:cs="Arial"/>
          <w:kern w:val="0"/>
          <w:szCs w:val="21"/>
          <w:bdr w:val="none" w:sz="0" w:space="0" w:color="auto" w:frame="1"/>
        </w:rPr>
        <w:t>5</w:t>
      </w:r>
      <w:r w:rsidRPr="00D512DE">
        <w:rPr>
          <w:rFonts w:asciiTheme="minorEastAsia" w:hAnsiTheme="minorEastAsia" w:cs="Arial" w:hint="eastAsia"/>
          <w:kern w:val="0"/>
          <w:szCs w:val="21"/>
          <w:bdr w:val="none" w:sz="0" w:space="0" w:color="auto" w:frame="1"/>
        </w:rPr>
        <w:t>年</w:t>
      </w:r>
      <w:r w:rsidR="004669B6">
        <w:rPr>
          <w:rFonts w:asciiTheme="minorEastAsia" w:hAnsiTheme="minorEastAsia" w:cs="Arial"/>
          <w:kern w:val="0"/>
          <w:szCs w:val="21"/>
          <w:bdr w:val="none" w:sz="0" w:space="0" w:color="auto" w:frame="1"/>
        </w:rPr>
        <w:t>3</w:t>
      </w:r>
      <w:r w:rsidRPr="00D512DE">
        <w:rPr>
          <w:rFonts w:asciiTheme="minorEastAsia" w:hAnsiTheme="minorEastAsia" w:cs="Arial" w:hint="eastAsia"/>
          <w:kern w:val="0"/>
          <w:szCs w:val="21"/>
          <w:bdr w:val="none" w:sz="0" w:space="0" w:color="auto" w:frame="1"/>
        </w:rPr>
        <w:t>月</w:t>
      </w:r>
      <w:r w:rsidR="004669B6">
        <w:rPr>
          <w:rFonts w:asciiTheme="minorEastAsia" w:hAnsiTheme="minorEastAsia" w:cs="Arial"/>
          <w:kern w:val="0"/>
          <w:szCs w:val="21"/>
          <w:bdr w:val="none" w:sz="0" w:space="0" w:color="auto" w:frame="1"/>
        </w:rPr>
        <w:t>2</w:t>
      </w:r>
      <w:r w:rsidR="00813058">
        <w:rPr>
          <w:rFonts w:asciiTheme="minorEastAsia" w:hAnsiTheme="minorEastAsia" w:cs="Arial"/>
          <w:kern w:val="0"/>
          <w:szCs w:val="21"/>
          <w:bdr w:val="none" w:sz="0" w:space="0" w:color="auto" w:frame="1"/>
        </w:rPr>
        <w:t>6</w:t>
      </w:r>
      <w:r w:rsidRPr="00D512DE">
        <w:rPr>
          <w:rFonts w:asciiTheme="minorEastAsia" w:hAnsiTheme="minorEastAsia" w:cs="Arial" w:hint="eastAsia"/>
          <w:kern w:val="0"/>
          <w:szCs w:val="21"/>
          <w:bdr w:val="none" w:sz="0" w:space="0" w:color="auto" w:frame="1"/>
        </w:rPr>
        <w:t>日</w:t>
      </w:r>
      <w:r w:rsidRPr="00D512DE">
        <w:rPr>
          <w:rFonts w:asciiTheme="minorEastAsia" w:hAnsiTheme="minorEastAsia" w:cs="Arial" w:hint="eastAsia"/>
          <w:kern w:val="0"/>
          <w:szCs w:val="21"/>
          <w:bdr w:val="none" w:sz="0" w:space="0" w:color="auto" w:frame="1"/>
        </w:rPr>
        <w:t>15</w:t>
      </w:r>
      <w:r w:rsidRPr="00D512DE">
        <w:rPr>
          <w:rFonts w:asciiTheme="minorEastAsia" w:hAnsiTheme="minorEastAsia" w:cs="Arial" w:hint="eastAsia"/>
          <w:kern w:val="0"/>
          <w:szCs w:val="21"/>
          <w:bdr w:val="none" w:sz="0" w:space="0" w:color="auto" w:frame="1"/>
        </w:rPr>
        <w:t>点前，投资者通过本公司（</w:t>
      </w:r>
      <w:r w:rsidRPr="00D512DE">
        <w:rPr>
          <w:rFonts w:asciiTheme="minorEastAsia" w:hAnsiTheme="minorEastAsia" w:cs="Arial" w:hint="eastAsia"/>
          <w:kern w:val="0"/>
          <w:szCs w:val="21"/>
          <w:bdr w:val="none" w:sz="0" w:space="0" w:color="auto" w:frame="1"/>
        </w:rPr>
        <w:t>www.fsfund.com</w:t>
      </w:r>
      <w:r w:rsidRPr="00D512DE">
        <w:rPr>
          <w:rFonts w:asciiTheme="minorEastAsia" w:hAnsiTheme="minorEastAsia" w:cs="Arial" w:hint="eastAsia"/>
          <w:kern w:val="0"/>
          <w:szCs w:val="21"/>
          <w:bdr w:val="none" w:sz="0" w:space="0" w:color="auto" w:frame="1"/>
        </w:rPr>
        <w:t>）网上直销平台</w:t>
      </w:r>
      <w:r w:rsidR="00E9756D" w:rsidRPr="00D512DE">
        <w:rPr>
          <w:rFonts w:asciiTheme="minorEastAsia" w:hAnsiTheme="minorEastAsia" w:cs="Arial" w:hint="eastAsia"/>
          <w:kern w:val="0"/>
          <w:szCs w:val="21"/>
          <w:bdr w:val="none" w:sz="0" w:space="0" w:color="auto" w:frame="1"/>
        </w:rPr>
        <w:t>(网上交易、</w:t>
      </w:r>
      <w:r w:rsidRPr="00D512DE">
        <w:rPr>
          <w:rFonts w:asciiTheme="minorEastAsia" w:hAnsiTheme="minorEastAsia" w:cs="Arial" w:hint="eastAsia"/>
          <w:kern w:val="0"/>
          <w:szCs w:val="21"/>
          <w:bdr w:val="none" w:sz="0" w:space="0" w:color="auto" w:frame="1"/>
        </w:rPr>
        <w:t>APP</w:t>
      </w:r>
      <w:r w:rsidRPr="00D512DE">
        <w:rPr>
          <w:rFonts w:asciiTheme="minorEastAsia" w:hAnsiTheme="minorEastAsia" w:cs="Arial" w:hint="eastAsia"/>
          <w:kern w:val="0"/>
          <w:szCs w:val="21"/>
          <w:bdr w:val="none" w:sz="0" w:space="0" w:color="auto" w:frame="1"/>
        </w:rPr>
        <w:t>、官方微信公众号</w:t>
      </w:r>
      <w:r w:rsidRPr="00D512DE">
        <w:rPr>
          <w:rFonts w:asciiTheme="minorEastAsia" w:hAnsiTheme="minorEastAsia" w:cs="Arial" w:hint="eastAsia"/>
          <w:kern w:val="0"/>
          <w:szCs w:val="21"/>
          <w:bdr w:val="none" w:sz="0" w:space="0" w:color="auto" w:frame="1"/>
        </w:rPr>
        <w:t>)</w:t>
      </w:r>
      <w:r w:rsidRPr="00D512DE">
        <w:rPr>
          <w:rFonts w:asciiTheme="minorEastAsia" w:hAnsiTheme="minorEastAsia" w:cs="Arial" w:hint="eastAsia"/>
          <w:kern w:val="0"/>
          <w:szCs w:val="21"/>
          <w:bdr w:val="none" w:sz="0" w:space="0" w:color="auto" w:frame="1"/>
        </w:rPr>
        <w:t>通过本基金转换、赎回转申购</w:t>
      </w:r>
      <w:r w:rsidR="00E9756D" w:rsidRPr="00D512DE">
        <w:rPr>
          <w:rFonts w:asciiTheme="minorEastAsia" w:hAnsiTheme="minorEastAsia" w:cs="Arial" w:hint="eastAsia"/>
          <w:kern w:val="0"/>
          <w:szCs w:val="21"/>
          <w:bdr w:val="none" w:sz="0" w:space="0" w:color="auto" w:frame="1"/>
        </w:rPr>
        <w:t>、定期转换、定期赎回转申购</w:t>
      </w:r>
      <w:r w:rsidRPr="00D512DE">
        <w:rPr>
          <w:rFonts w:asciiTheme="minorEastAsia" w:hAnsiTheme="minorEastAsia" w:cs="Arial" w:hint="eastAsia"/>
          <w:kern w:val="0"/>
          <w:szCs w:val="21"/>
          <w:bdr w:val="none" w:sz="0" w:space="0" w:color="auto" w:frame="1"/>
        </w:rPr>
        <w:t>上述适用基金时，转换、赎回转申购</w:t>
      </w:r>
      <w:r w:rsidR="00A338E5" w:rsidRPr="00D512DE">
        <w:rPr>
          <w:rFonts w:asciiTheme="minorEastAsia" w:hAnsiTheme="minorEastAsia" w:cs="Arial" w:hint="eastAsia"/>
          <w:kern w:val="0"/>
          <w:szCs w:val="21"/>
          <w:bdr w:val="none" w:sz="0" w:space="0" w:color="auto" w:frame="1"/>
        </w:rPr>
        <w:t>、定期转换、定期赎回转申购</w:t>
      </w:r>
      <w:r w:rsidRPr="00D512DE">
        <w:rPr>
          <w:rFonts w:asciiTheme="minorEastAsia" w:hAnsiTheme="minorEastAsia" w:cs="Arial" w:hint="eastAsia"/>
          <w:kern w:val="0"/>
          <w:szCs w:val="21"/>
          <w:bdr w:val="none" w:sz="0" w:space="0" w:color="auto" w:frame="1"/>
        </w:rPr>
        <w:t>费率</w:t>
      </w:r>
      <w:r w:rsidR="002C3506" w:rsidRPr="00D512DE">
        <w:rPr>
          <w:rFonts w:asciiTheme="minorEastAsia" w:hAnsiTheme="minorEastAsia" w:cs="Arial" w:hint="eastAsia"/>
          <w:kern w:val="0"/>
          <w:szCs w:val="21"/>
          <w:bdr w:val="none" w:sz="0" w:space="0" w:color="auto" w:frame="1"/>
        </w:rPr>
        <w:t>实施</w:t>
      </w:r>
      <w:r w:rsidRPr="00D512DE">
        <w:rPr>
          <w:rFonts w:asciiTheme="minorEastAsia" w:hAnsiTheme="minorEastAsia" w:cs="Arial" w:hint="eastAsia"/>
          <w:kern w:val="0"/>
          <w:szCs w:val="21"/>
          <w:bdr w:val="none" w:sz="0" w:space="0" w:color="auto" w:frame="1"/>
        </w:rPr>
        <w:t>0.1</w:t>
      </w:r>
      <w:r w:rsidRPr="00D512DE">
        <w:rPr>
          <w:rFonts w:asciiTheme="minorEastAsia" w:hAnsiTheme="minorEastAsia" w:cs="Arial" w:hint="eastAsia"/>
          <w:kern w:val="0"/>
          <w:szCs w:val="21"/>
          <w:bdr w:val="none" w:sz="0" w:space="0" w:color="auto" w:frame="1"/>
        </w:rPr>
        <w:t>折优惠</w:t>
      </w:r>
      <w:r w:rsidR="00E93B43" w:rsidRPr="00D512DE">
        <w:rPr>
          <w:rFonts w:asciiTheme="minorEastAsia" w:hAnsiTheme="minorEastAsia" w:cs="Arial" w:hint="eastAsia"/>
          <w:kern w:val="0"/>
          <w:szCs w:val="21"/>
          <w:bdr w:val="none" w:sz="0" w:space="0" w:color="auto" w:frame="1"/>
        </w:rPr>
        <w:t>（固定费用不打折）</w:t>
      </w:r>
      <w:r w:rsidRPr="00D512DE">
        <w:rPr>
          <w:rFonts w:asciiTheme="minorEastAsia" w:hAnsiTheme="minorEastAsia" w:cs="Arial" w:hint="eastAsia"/>
          <w:kern w:val="0"/>
          <w:szCs w:val="21"/>
          <w:bdr w:val="none" w:sz="0" w:space="0" w:color="auto" w:frame="1"/>
        </w:rPr>
        <w:t>。如有变更，将另行公告。</w:t>
      </w:r>
    </w:p>
    <w:p w:rsidR="00F91650" w:rsidRPr="00D512DE" w:rsidRDefault="004C1612" w:rsidP="0066202F">
      <w:pPr>
        <w:widowControl/>
        <w:shd w:val="clear" w:color="auto" w:fill="FFFFFF"/>
        <w:spacing w:line="360" w:lineRule="auto"/>
        <w:ind w:firstLine="420"/>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2</w:t>
      </w:r>
      <w:r w:rsidRPr="00D512DE">
        <w:rPr>
          <w:rFonts w:asciiTheme="minorEastAsia" w:hAnsiTheme="minorEastAsia" w:cs="Arial" w:hint="eastAsia"/>
          <w:kern w:val="0"/>
          <w:szCs w:val="21"/>
          <w:bdr w:val="none" w:sz="0" w:space="0" w:color="auto" w:frame="1"/>
        </w:rPr>
        <w:t>、本公告的解释权归本公司所有。</w:t>
      </w:r>
    </w:p>
    <w:p w:rsidR="00F91650" w:rsidRPr="00D512DE" w:rsidRDefault="004C1612" w:rsidP="0066202F">
      <w:pPr>
        <w:widowControl/>
        <w:shd w:val="clear" w:color="auto" w:fill="FFFFFF"/>
        <w:spacing w:line="360" w:lineRule="auto"/>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三</w:t>
      </w:r>
      <w:r w:rsidRPr="00D512DE">
        <w:rPr>
          <w:rFonts w:asciiTheme="minorEastAsia" w:hAnsiTheme="minorEastAsia" w:cs="Arial" w:hint="eastAsia"/>
          <w:kern w:val="0"/>
          <w:szCs w:val="21"/>
          <w:bdr w:val="none" w:sz="0" w:space="0" w:color="auto" w:frame="1"/>
        </w:rPr>
        <w:t xml:space="preserve"> </w:t>
      </w:r>
      <w:r w:rsidRPr="00D512DE">
        <w:rPr>
          <w:rFonts w:asciiTheme="minorEastAsia" w:hAnsiTheme="minorEastAsia" w:cs="Arial" w:hint="eastAsia"/>
          <w:kern w:val="0"/>
          <w:szCs w:val="21"/>
          <w:bdr w:val="none" w:sz="0" w:space="0" w:color="auto" w:frame="1"/>
        </w:rPr>
        <w:t>、业务办理</w:t>
      </w:r>
    </w:p>
    <w:p w:rsidR="00F91650" w:rsidRPr="00D512DE" w:rsidRDefault="004C1612" w:rsidP="0066202F">
      <w:pPr>
        <w:widowControl/>
        <w:shd w:val="clear" w:color="auto" w:fill="FFFFFF"/>
        <w:spacing w:line="360" w:lineRule="auto"/>
        <w:ind w:firstLine="405"/>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投资者通过本公司（</w:t>
      </w:r>
      <w:r w:rsidRPr="00D512DE">
        <w:rPr>
          <w:rFonts w:asciiTheme="minorEastAsia" w:hAnsiTheme="minorEastAsia" w:cs="Arial" w:hint="eastAsia"/>
          <w:kern w:val="0"/>
          <w:szCs w:val="21"/>
          <w:bdr w:val="none" w:sz="0" w:space="0" w:color="auto" w:frame="1"/>
        </w:rPr>
        <w:t>www.fsfund.com</w:t>
      </w:r>
      <w:r w:rsidRPr="00D512DE">
        <w:rPr>
          <w:rFonts w:asciiTheme="minorEastAsia" w:hAnsiTheme="minorEastAsia" w:cs="Arial" w:hint="eastAsia"/>
          <w:kern w:val="0"/>
          <w:szCs w:val="21"/>
          <w:bdr w:val="none" w:sz="0" w:space="0" w:color="auto" w:frame="1"/>
        </w:rPr>
        <w:t>）网上直销平台</w:t>
      </w:r>
      <w:r w:rsidR="0088017B" w:rsidRPr="00D512DE">
        <w:rPr>
          <w:rFonts w:asciiTheme="minorEastAsia" w:hAnsiTheme="minorEastAsia" w:cs="Arial" w:hint="eastAsia"/>
          <w:kern w:val="0"/>
          <w:szCs w:val="21"/>
          <w:bdr w:val="none" w:sz="0" w:space="0" w:color="auto" w:frame="1"/>
        </w:rPr>
        <w:t>(网上交易、</w:t>
      </w:r>
      <w:r w:rsidRPr="00D512DE">
        <w:rPr>
          <w:rFonts w:asciiTheme="minorEastAsia" w:hAnsiTheme="minorEastAsia" w:cs="Arial" w:hint="eastAsia"/>
          <w:kern w:val="0"/>
          <w:szCs w:val="21"/>
          <w:bdr w:val="none" w:sz="0" w:space="0" w:color="auto" w:frame="1"/>
        </w:rPr>
        <w:t>APP</w:t>
      </w:r>
      <w:r w:rsidRPr="00D512DE">
        <w:rPr>
          <w:rFonts w:asciiTheme="minorEastAsia" w:hAnsiTheme="minorEastAsia" w:cs="Arial" w:hint="eastAsia"/>
          <w:kern w:val="0"/>
          <w:szCs w:val="21"/>
          <w:bdr w:val="none" w:sz="0" w:space="0" w:color="auto" w:frame="1"/>
        </w:rPr>
        <w:t>、官方微信公众号</w:t>
      </w:r>
      <w:r w:rsidRPr="00D512DE">
        <w:rPr>
          <w:rFonts w:asciiTheme="minorEastAsia" w:hAnsiTheme="minorEastAsia" w:cs="Arial" w:hint="eastAsia"/>
          <w:kern w:val="0"/>
          <w:szCs w:val="21"/>
          <w:bdr w:val="none" w:sz="0" w:space="0" w:color="auto" w:frame="1"/>
        </w:rPr>
        <w:t>)</w:t>
      </w:r>
      <w:r w:rsidRPr="00D512DE">
        <w:rPr>
          <w:rFonts w:asciiTheme="minorEastAsia" w:hAnsiTheme="minorEastAsia" w:cs="Arial" w:hint="eastAsia"/>
          <w:kern w:val="0"/>
          <w:szCs w:val="21"/>
          <w:bdr w:val="none" w:sz="0" w:space="0" w:color="auto" w:frame="1"/>
        </w:rPr>
        <w:t>办理相关业务。</w:t>
      </w:r>
    </w:p>
    <w:p w:rsidR="00F91650" w:rsidRPr="00D512DE" w:rsidRDefault="004C1612" w:rsidP="0066202F">
      <w:pPr>
        <w:widowControl/>
        <w:shd w:val="clear" w:color="auto" w:fill="FFFFFF"/>
        <w:spacing w:line="360" w:lineRule="auto"/>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四</w:t>
      </w:r>
      <w:r w:rsidRPr="00D512DE">
        <w:rPr>
          <w:rFonts w:asciiTheme="minorEastAsia" w:hAnsiTheme="minorEastAsia" w:cs="Arial" w:hint="eastAsia"/>
          <w:kern w:val="0"/>
          <w:szCs w:val="21"/>
          <w:bdr w:val="none" w:sz="0" w:space="0" w:color="auto" w:frame="1"/>
        </w:rPr>
        <w:t xml:space="preserve"> </w:t>
      </w:r>
      <w:r w:rsidRPr="00D512DE">
        <w:rPr>
          <w:rFonts w:asciiTheme="minorEastAsia" w:hAnsiTheme="minorEastAsia" w:cs="Arial" w:hint="eastAsia"/>
          <w:kern w:val="0"/>
          <w:szCs w:val="21"/>
          <w:bdr w:val="none" w:sz="0" w:space="0" w:color="auto" w:frame="1"/>
        </w:rPr>
        <w:t>、投资者可通过以下途径了解或咨询详情</w:t>
      </w:r>
    </w:p>
    <w:p w:rsidR="00F91650" w:rsidRPr="00D512DE" w:rsidRDefault="004C1612" w:rsidP="0066202F">
      <w:pPr>
        <w:widowControl/>
        <w:shd w:val="clear" w:color="auto" w:fill="FFFFFF"/>
        <w:spacing w:line="360" w:lineRule="auto"/>
        <w:ind w:firstLine="420"/>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华宝基金管理有限公司网站：</w:t>
      </w:r>
      <w:r w:rsidRPr="00D512DE">
        <w:rPr>
          <w:rFonts w:asciiTheme="minorEastAsia" w:hAnsiTheme="minorEastAsia" w:cs="Arial" w:hint="eastAsia"/>
          <w:kern w:val="0"/>
          <w:szCs w:val="21"/>
          <w:bdr w:val="none" w:sz="0" w:space="0" w:color="auto" w:frame="1"/>
        </w:rPr>
        <w:t>www.fsfund.com</w:t>
      </w:r>
    </w:p>
    <w:p w:rsidR="00F91650" w:rsidRPr="00D512DE" w:rsidRDefault="004C1612" w:rsidP="0066202F">
      <w:pPr>
        <w:widowControl/>
        <w:shd w:val="clear" w:color="auto" w:fill="FFFFFF"/>
        <w:spacing w:line="360" w:lineRule="auto"/>
        <w:ind w:firstLine="420"/>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华宝基金管理有限公司客服热线：</w:t>
      </w:r>
      <w:r w:rsidR="007E1893" w:rsidRPr="00A92FE7">
        <w:rPr>
          <w:rFonts w:ascii="宋体" w:hAnsi="宋体" w:hint="eastAsia"/>
          <w:szCs w:val="21"/>
        </w:rPr>
        <w:t>400-820-5050</w:t>
      </w:r>
      <w:r w:rsidR="007E1893">
        <w:rPr>
          <w:rFonts w:ascii="宋体" w:hAnsi="宋体" w:hint="eastAsia"/>
          <w:szCs w:val="21"/>
        </w:rPr>
        <w:t>、</w:t>
      </w:r>
      <w:r w:rsidRPr="00D512DE">
        <w:rPr>
          <w:rFonts w:asciiTheme="minorEastAsia" w:hAnsiTheme="minorEastAsia" w:cs="Arial" w:hint="eastAsia"/>
          <w:kern w:val="0"/>
          <w:szCs w:val="21"/>
          <w:bdr w:val="none" w:sz="0" w:space="0" w:color="auto" w:frame="1"/>
        </w:rPr>
        <w:t>400-700-5588</w:t>
      </w:r>
      <w:r w:rsidRPr="00D512DE">
        <w:rPr>
          <w:rFonts w:asciiTheme="minorEastAsia" w:hAnsiTheme="minorEastAsia" w:cs="Arial" w:hint="eastAsia"/>
          <w:kern w:val="0"/>
          <w:szCs w:val="21"/>
          <w:bdr w:val="none" w:sz="0" w:space="0" w:color="auto" w:frame="1"/>
        </w:rPr>
        <w:t>、</w:t>
      </w:r>
      <w:r w:rsidRPr="00D512DE">
        <w:rPr>
          <w:rFonts w:asciiTheme="minorEastAsia" w:hAnsiTheme="minorEastAsia" w:cs="Arial" w:hint="eastAsia"/>
          <w:kern w:val="0"/>
          <w:szCs w:val="21"/>
          <w:bdr w:val="none" w:sz="0" w:space="0" w:color="auto" w:frame="1"/>
        </w:rPr>
        <w:t>021-38924558</w:t>
      </w:r>
    </w:p>
    <w:p w:rsidR="00F91650" w:rsidRPr="00D512DE" w:rsidRDefault="004C1612" w:rsidP="0066202F">
      <w:pPr>
        <w:widowControl/>
        <w:shd w:val="clear" w:color="auto" w:fill="FFFFFF"/>
        <w:spacing w:line="360" w:lineRule="auto"/>
        <w:ind w:firstLine="420"/>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华宝基金管理有限公司客服信箱：</w:t>
      </w:r>
      <w:r w:rsidRPr="00D512DE">
        <w:rPr>
          <w:rFonts w:asciiTheme="minorEastAsia" w:hAnsiTheme="minorEastAsia" w:cs="Arial" w:hint="eastAsia"/>
          <w:kern w:val="0"/>
          <w:szCs w:val="21"/>
          <w:bdr w:val="none" w:sz="0" w:space="0" w:color="auto" w:frame="1"/>
        </w:rPr>
        <w:t>fsf@fsfund.com</w:t>
      </w:r>
    </w:p>
    <w:p w:rsidR="00F91650" w:rsidRPr="00D512DE" w:rsidRDefault="004C1612" w:rsidP="0066202F">
      <w:pPr>
        <w:widowControl/>
        <w:shd w:val="clear" w:color="auto" w:fill="FFFFFF"/>
        <w:spacing w:line="360" w:lineRule="auto"/>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五、风险提示</w:t>
      </w:r>
    </w:p>
    <w:p w:rsidR="00F91650" w:rsidRPr="00D512DE" w:rsidRDefault="004C1612" w:rsidP="0066202F">
      <w:pPr>
        <w:widowControl/>
        <w:shd w:val="clear" w:color="auto" w:fill="FFFFFF"/>
        <w:spacing w:line="360" w:lineRule="auto"/>
        <w:ind w:firstLine="420"/>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lastRenderedPageBreak/>
        <w:t>本公司承诺以诚实信用、勤勉尽责的原则管理和运用基金资产，但不保证基金一定盈利，也不保证最低收益，敬请投资人注意投资风险。</w:t>
      </w:r>
    </w:p>
    <w:p w:rsidR="00F91650" w:rsidRPr="00D512DE" w:rsidRDefault="004C1612" w:rsidP="0066202F">
      <w:pPr>
        <w:widowControl/>
        <w:shd w:val="clear" w:color="auto" w:fill="FFFFFF"/>
        <w:spacing w:line="360" w:lineRule="auto"/>
        <w:ind w:firstLine="420"/>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投资者投资基金时应认真阅读基金的《基金合同》、《招募说明书》、</w:t>
      </w:r>
      <w:r w:rsidR="00295571">
        <w:rPr>
          <w:rFonts w:asciiTheme="minorEastAsia" w:hAnsiTheme="minorEastAsia" w:cs="Arial" w:hint="eastAsia"/>
          <w:kern w:val="0"/>
          <w:szCs w:val="21"/>
          <w:bdr w:val="none" w:sz="0" w:space="0" w:color="auto" w:frame="1"/>
        </w:rPr>
        <w:t>《</w:t>
      </w:r>
      <w:r w:rsidR="00295571" w:rsidRPr="00295571">
        <w:rPr>
          <w:rFonts w:asciiTheme="minorEastAsia" w:hAnsiTheme="minorEastAsia" w:cs="Arial" w:hint="eastAsia"/>
          <w:kern w:val="0"/>
          <w:szCs w:val="21"/>
          <w:bdr w:val="none" w:sz="0" w:space="0" w:color="auto" w:frame="1"/>
        </w:rPr>
        <w:t>产品资料概要</w:t>
      </w:r>
      <w:r w:rsidR="00295571">
        <w:rPr>
          <w:rFonts w:asciiTheme="minorEastAsia" w:hAnsiTheme="minorEastAsia" w:cs="Arial" w:hint="eastAsia"/>
          <w:kern w:val="0"/>
          <w:szCs w:val="21"/>
          <w:bdr w:val="none" w:sz="0" w:space="0" w:color="auto" w:frame="1"/>
        </w:rPr>
        <w:t>》、</w:t>
      </w:r>
      <w:r w:rsidRPr="00D512DE">
        <w:rPr>
          <w:rFonts w:asciiTheme="minorEastAsia" w:hAnsiTheme="minorEastAsia" w:cs="Arial" w:hint="eastAsia"/>
          <w:kern w:val="0"/>
          <w:szCs w:val="21"/>
          <w:bdr w:val="none" w:sz="0" w:space="0" w:color="auto" w:frame="1"/>
        </w:rPr>
        <w:t>网上直销交易协议、相关规则等，了解网上直销交易的固有风险，投资者应慎重选择，并在使用时妥善保管好网上直销交易信息，特别是账号和密码。</w:t>
      </w:r>
    </w:p>
    <w:p w:rsidR="00F91650" w:rsidRPr="00D512DE" w:rsidRDefault="004C1612" w:rsidP="0066202F">
      <w:pPr>
        <w:widowControl/>
        <w:shd w:val="clear" w:color="auto" w:fill="FFFFFF"/>
        <w:spacing w:line="360" w:lineRule="auto"/>
        <w:ind w:firstLine="420"/>
        <w:jc w:val="lef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特此公告！</w:t>
      </w:r>
    </w:p>
    <w:p w:rsidR="00F91650" w:rsidRPr="00D512DE" w:rsidRDefault="00F91650" w:rsidP="0066202F">
      <w:pPr>
        <w:widowControl/>
        <w:shd w:val="clear" w:color="auto" w:fill="FFFFFF"/>
        <w:spacing w:line="360" w:lineRule="auto"/>
        <w:jc w:val="right"/>
        <w:textAlignment w:val="baseline"/>
        <w:rPr>
          <w:rFonts w:asciiTheme="minorEastAsia" w:hAnsiTheme="minorEastAsia" w:cs="Arial"/>
          <w:kern w:val="0"/>
          <w:szCs w:val="21"/>
          <w:bdr w:val="none" w:sz="0" w:space="0" w:color="auto" w:frame="1"/>
        </w:rPr>
      </w:pPr>
    </w:p>
    <w:p w:rsidR="00F91650" w:rsidRPr="00D512DE" w:rsidRDefault="004C1612" w:rsidP="0066202F">
      <w:pPr>
        <w:widowControl/>
        <w:shd w:val="clear" w:color="auto" w:fill="FFFFFF"/>
        <w:spacing w:line="360" w:lineRule="auto"/>
        <w:jc w:val="righ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华宝基金管理有限公司</w:t>
      </w:r>
    </w:p>
    <w:p w:rsidR="00F91650" w:rsidRPr="00D512DE" w:rsidRDefault="004C1612" w:rsidP="0066202F">
      <w:pPr>
        <w:widowControl/>
        <w:shd w:val="clear" w:color="auto" w:fill="FFFFFF"/>
        <w:spacing w:line="360" w:lineRule="auto"/>
        <w:jc w:val="right"/>
        <w:textAlignment w:val="baseline"/>
        <w:rPr>
          <w:rFonts w:asciiTheme="minorEastAsia" w:hAnsiTheme="minorEastAsia" w:cs="Arial"/>
          <w:kern w:val="0"/>
          <w:szCs w:val="21"/>
        </w:rPr>
      </w:pPr>
      <w:r w:rsidRPr="00D512DE">
        <w:rPr>
          <w:rFonts w:asciiTheme="minorEastAsia" w:hAnsiTheme="minorEastAsia" w:cs="Arial" w:hint="eastAsia"/>
          <w:kern w:val="0"/>
          <w:szCs w:val="21"/>
          <w:bdr w:val="none" w:sz="0" w:space="0" w:color="auto" w:frame="1"/>
        </w:rPr>
        <w:t>20</w:t>
      </w:r>
      <w:r w:rsidR="00030172" w:rsidRPr="00D512DE">
        <w:rPr>
          <w:rFonts w:asciiTheme="minorEastAsia" w:hAnsiTheme="minorEastAsia" w:cs="Arial" w:hint="eastAsia"/>
          <w:kern w:val="0"/>
          <w:szCs w:val="21"/>
          <w:bdr w:val="none" w:sz="0" w:space="0" w:color="auto" w:frame="1"/>
        </w:rPr>
        <w:t>2</w:t>
      </w:r>
      <w:r w:rsidR="004669B6">
        <w:rPr>
          <w:rFonts w:asciiTheme="minorEastAsia" w:hAnsiTheme="minorEastAsia" w:cs="Arial"/>
          <w:kern w:val="0"/>
          <w:szCs w:val="21"/>
          <w:bdr w:val="none" w:sz="0" w:space="0" w:color="auto" w:frame="1"/>
        </w:rPr>
        <w:t>4</w:t>
      </w:r>
      <w:r w:rsidRPr="00D512DE">
        <w:rPr>
          <w:rFonts w:asciiTheme="minorEastAsia" w:hAnsiTheme="minorEastAsia" w:cs="Arial" w:hint="eastAsia"/>
          <w:kern w:val="0"/>
          <w:szCs w:val="21"/>
          <w:bdr w:val="none" w:sz="0" w:space="0" w:color="auto" w:frame="1"/>
        </w:rPr>
        <w:t>年</w:t>
      </w:r>
      <w:r w:rsidR="004669B6">
        <w:rPr>
          <w:rFonts w:asciiTheme="minorEastAsia" w:hAnsiTheme="minorEastAsia" w:cs="Arial"/>
          <w:kern w:val="0"/>
          <w:szCs w:val="21"/>
          <w:bdr w:val="none" w:sz="0" w:space="0" w:color="auto" w:frame="1"/>
        </w:rPr>
        <w:t>3</w:t>
      </w:r>
      <w:r w:rsidRPr="00D512DE">
        <w:rPr>
          <w:rFonts w:asciiTheme="minorEastAsia" w:hAnsiTheme="minorEastAsia" w:cs="Arial" w:hint="eastAsia"/>
          <w:kern w:val="0"/>
          <w:szCs w:val="21"/>
          <w:bdr w:val="none" w:sz="0" w:space="0" w:color="auto" w:frame="1"/>
        </w:rPr>
        <w:t>月</w:t>
      </w:r>
      <w:r w:rsidR="004669B6">
        <w:rPr>
          <w:rFonts w:asciiTheme="minorEastAsia" w:hAnsiTheme="minorEastAsia" w:cs="Arial"/>
          <w:kern w:val="0"/>
          <w:szCs w:val="21"/>
          <w:bdr w:val="none" w:sz="0" w:space="0" w:color="auto" w:frame="1"/>
        </w:rPr>
        <w:t>2</w:t>
      </w:r>
      <w:r w:rsidR="0057368F">
        <w:rPr>
          <w:rFonts w:asciiTheme="minorEastAsia" w:hAnsiTheme="minorEastAsia" w:cs="Arial"/>
          <w:kern w:val="0"/>
          <w:szCs w:val="21"/>
          <w:bdr w:val="none" w:sz="0" w:space="0" w:color="auto" w:frame="1"/>
        </w:rPr>
        <w:t>7</w:t>
      </w:r>
      <w:r w:rsidRPr="00D512DE">
        <w:rPr>
          <w:rFonts w:asciiTheme="minorEastAsia" w:hAnsiTheme="minorEastAsia" w:cs="Arial" w:hint="eastAsia"/>
          <w:kern w:val="0"/>
          <w:szCs w:val="21"/>
          <w:bdr w:val="none" w:sz="0" w:space="0" w:color="auto" w:frame="1"/>
        </w:rPr>
        <w:t>日</w:t>
      </w:r>
    </w:p>
    <w:p w:rsidR="00F91650" w:rsidRPr="00D512DE" w:rsidRDefault="00F91650" w:rsidP="0066202F">
      <w:pPr>
        <w:spacing w:line="360" w:lineRule="auto"/>
        <w:rPr>
          <w:rFonts w:asciiTheme="minorEastAsia" w:hAnsiTheme="minorEastAsia"/>
          <w:szCs w:val="21"/>
        </w:rPr>
      </w:pPr>
    </w:p>
    <w:sectPr w:rsidR="00F91650" w:rsidRPr="00D512DE" w:rsidSect="00A042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3D23"/>
    <w:rsid w:val="00004016"/>
    <w:rsid w:val="00005E83"/>
    <w:rsid w:val="00006D96"/>
    <w:rsid w:val="00014979"/>
    <w:rsid w:val="000222CB"/>
    <w:rsid w:val="00030172"/>
    <w:rsid w:val="0003282C"/>
    <w:rsid w:val="000C7343"/>
    <w:rsid w:val="000F6054"/>
    <w:rsid w:val="0013064C"/>
    <w:rsid w:val="00171B68"/>
    <w:rsid w:val="001952B0"/>
    <w:rsid w:val="001A656B"/>
    <w:rsid w:val="001C002D"/>
    <w:rsid w:val="001E7543"/>
    <w:rsid w:val="001F4A0B"/>
    <w:rsid w:val="001F7F66"/>
    <w:rsid w:val="002056B4"/>
    <w:rsid w:val="002124E8"/>
    <w:rsid w:val="00217409"/>
    <w:rsid w:val="002315DF"/>
    <w:rsid w:val="0028344E"/>
    <w:rsid w:val="00295571"/>
    <w:rsid w:val="002A1E10"/>
    <w:rsid w:val="002A3FAB"/>
    <w:rsid w:val="002B5692"/>
    <w:rsid w:val="002C3506"/>
    <w:rsid w:val="00307488"/>
    <w:rsid w:val="00323C05"/>
    <w:rsid w:val="003616AA"/>
    <w:rsid w:val="003714A3"/>
    <w:rsid w:val="003730ED"/>
    <w:rsid w:val="003A560D"/>
    <w:rsid w:val="003A7EB1"/>
    <w:rsid w:val="003D67A2"/>
    <w:rsid w:val="003E23B9"/>
    <w:rsid w:val="003F30E5"/>
    <w:rsid w:val="004108DD"/>
    <w:rsid w:val="00457C81"/>
    <w:rsid w:val="00462059"/>
    <w:rsid w:val="004669B6"/>
    <w:rsid w:val="004A0B24"/>
    <w:rsid w:val="004C1612"/>
    <w:rsid w:val="005166F7"/>
    <w:rsid w:val="00546CB3"/>
    <w:rsid w:val="005551D0"/>
    <w:rsid w:val="0057368F"/>
    <w:rsid w:val="00581D16"/>
    <w:rsid w:val="005B3071"/>
    <w:rsid w:val="005E32C8"/>
    <w:rsid w:val="005E5331"/>
    <w:rsid w:val="00603C80"/>
    <w:rsid w:val="0066202F"/>
    <w:rsid w:val="0068560B"/>
    <w:rsid w:val="00692186"/>
    <w:rsid w:val="006A49E3"/>
    <w:rsid w:val="006A54DB"/>
    <w:rsid w:val="006B49DC"/>
    <w:rsid w:val="006B4B8A"/>
    <w:rsid w:val="006D52C1"/>
    <w:rsid w:val="00711151"/>
    <w:rsid w:val="00713863"/>
    <w:rsid w:val="00717C31"/>
    <w:rsid w:val="00720289"/>
    <w:rsid w:val="0073209A"/>
    <w:rsid w:val="00762C51"/>
    <w:rsid w:val="0078385D"/>
    <w:rsid w:val="00784271"/>
    <w:rsid w:val="00792560"/>
    <w:rsid w:val="007E1893"/>
    <w:rsid w:val="00804032"/>
    <w:rsid w:val="00813058"/>
    <w:rsid w:val="00822689"/>
    <w:rsid w:val="0088017B"/>
    <w:rsid w:val="008A0F2C"/>
    <w:rsid w:val="008A1878"/>
    <w:rsid w:val="008A2298"/>
    <w:rsid w:val="008A3D23"/>
    <w:rsid w:val="008B0912"/>
    <w:rsid w:val="008C3B2D"/>
    <w:rsid w:val="00945FB0"/>
    <w:rsid w:val="00961800"/>
    <w:rsid w:val="009676E4"/>
    <w:rsid w:val="00976AFA"/>
    <w:rsid w:val="00981C1D"/>
    <w:rsid w:val="00994115"/>
    <w:rsid w:val="009D632E"/>
    <w:rsid w:val="009F41E3"/>
    <w:rsid w:val="00A0427C"/>
    <w:rsid w:val="00A13E90"/>
    <w:rsid w:val="00A17029"/>
    <w:rsid w:val="00A30FE9"/>
    <w:rsid w:val="00A338E5"/>
    <w:rsid w:val="00A438F4"/>
    <w:rsid w:val="00A67726"/>
    <w:rsid w:val="00A92FE7"/>
    <w:rsid w:val="00AD210D"/>
    <w:rsid w:val="00B073FC"/>
    <w:rsid w:val="00B16657"/>
    <w:rsid w:val="00B17404"/>
    <w:rsid w:val="00B221D9"/>
    <w:rsid w:val="00B24EA4"/>
    <w:rsid w:val="00B463E3"/>
    <w:rsid w:val="00B95D23"/>
    <w:rsid w:val="00BC677F"/>
    <w:rsid w:val="00BF3A0B"/>
    <w:rsid w:val="00C0389A"/>
    <w:rsid w:val="00C15F93"/>
    <w:rsid w:val="00C23AC6"/>
    <w:rsid w:val="00C34E77"/>
    <w:rsid w:val="00C63863"/>
    <w:rsid w:val="00C81E64"/>
    <w:rsid w:val="00CA7930"/>
    <w:rsid w:val="00CB5D18"/>
    <w:rsid w:val="00CC3EA6"/>
    <w:rsid w:val="00CD15E4"/>
    <w:rsid w:val="00CD2306"/>
    <w:rsid w:val="00CE1706"/>
    <w:rsid w:val="00CF486C"/>
    <w:rsid w:val="00CF6A2F"/>
    <w:rsid w:val="00D074E2"/>
    <w:rsid w:val="00D17736"/>
    <w:rsid w:val="00D26191"/>
    <w:rsid w:val="00D50F0A"/>
    <w:rsid w:val="00D512DE"/>
    <w:rsid w:val="00D55D11"/>
    <w:rsid w:val="00D70144"/>
    <w:rsid w:val="00D773BB"/>
    <w:rsid w:val="00DA361E"/>
    <w:rsid w:val="00DB3EFE"/>
    <w:rsid w:val="00DF1242"/>
    <w:rsid w:val="00E0535B"/>
    <w:rsid w:val="00E14D8E"/>
    <w:rsid w:val="00E2762A"/>
    <w:rsid w:val="00E33014"/>
    <w:rsid w:val="00E33C12"/>
    <w:rsid w:val="00E4317B"/>
    <w:rsid w:val="00E56509"/>
    <w:rsid w:val="00E84100"/>
    <w:rsid w:val="00E91804"/>
    <w:rsid w:val="00E93B43"/>
    <w:rsid w:val="00E9756D"/>
    <w:rsid w:val="00ED3F76"/>
    <w:rsid w:val="00EF00CD"/>
    <w:rsid w:val="00EF3413"/>
    <w:rsid w:val="00F15869"/>
    <w:rsid w:val="00F37F2C"/>
    <w:rsid w:val="00F42150"/>
    <w:rsid w:val="00F43E41"/>
    <w:rsid w:val="00F6063F"/>
    <w:rsid w:val="00F66A87"/>
    <w:rsid w:val="00F66FC6"/>
    <w:rsid w:val="00F80445"/>
    <w:rsid w:val="00F91650"/>
    <w:rsid w:val="00FB3B3D"/>
    <w:rsid w:val="00FD09EE"/>
    <w:rsid w:val="00FE0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165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07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7488"/>
    <w:rPr>
      <w:sz w:val="18"/>
      <w:szCs w:val="18"/>
    </w:rPr>
  </w:style>
  <w:style w:type="paragraph" w:styleId="a5">
    <w:name w:val="footer"/>
    <w:basedOn w:val="a"/>
    <w:link w:val="Char0"/>
    <w:uiPriority w:val="99"/>
    <w:unhideWhenUsed/>
    <w:rsid w:val="00307488"/>
    <w:pPr>
      <w:tabs>
        <w:tab w:val="center" w:pos="4153"/>
        <w:tab w:val="right" w:pos="8306"/>
      </w:tabs>
      <w:snapToGrid w:val="0"/>
      <w:jc w:val="left"/>
    </w:pPr>
    <w:rPr>
      <w:sz w:val="18"/>
      <w:szCs w:val="18"/>
    </w:rPr>
  </w:style>
  <w:style w:type="character" w:customStyle="1" w:styleId="Char0">
    <w:name w:val="页脚 Char"/>
    <w:basedOn w:val="a0"/>
    <w:link w:val="a5"/>
    <w:uiPriority w:val="99"/>
    <w:rsid w:val="00307488"/>
    <w:rPr>
      <w:sz w:val="18"/>
      <w:szCs w:val="18"/>
    </w:rPr>
  </w:style>
  <w:style w:type="paragraph" w:styleId="a6">
    <w:name w:val="Balloon Text"/>
    <w:basedOn w:val="a"/>
    <w:link w:val="Char1"/>
    <w:uiPriority w:val="99"/>
    <w:semiHidden/>
    <w:unhideWhenUsed/>
    <w:rsid w:val="00307488"/>
    <w:rPr>
      <w:sz w:val="18"/>
      <w:szCs w:val="18"/>
    </w:rPr>
  </w:style>
  <w:style w:type="character" w:customStyle="1" w:styleId="Char1">
    <w:name w:val="批注框文本 Char"/>
    <w:basedOn w:val="a0"/>
    <w:link w:val="a6"/>
    <w:uiPriority w:val="99"/>
    <w:semiHidden/>
    <w:rsid w:val="0030748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1643</Characters>
  <Application>Microsoft Office Word</Application>
  <DocSecurity>4</DocSecurity>
  <Lines>13</Lines>
  <Paragraphs>3</Paragraphs>
  <ScaleCrop>false</ScaleCrop>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关于华宝现金宝货币基金E类份额转换、赎回转申购、定期转换、定期赎回转申购业务费率优惠公告</dc:title>
  <dc:creator>王进锋</dc:creator>
  <cp:lastModifiedBy>ZHONGM</cp:lastModifiedBy>
  <cp:revision>2</cp:revision>
  <cp:lastPrinted>2019-04-10T03:03:00Z</cp:lastPrinted>
  <dcterms:created xsi:type="dcterms:W3CDTF">2024-03-26T16:00:00Z</dcterms:created>
  <dcterms:modified xsi:type="dcterms:W3CDTF">2024-03-26T16:00:00Z</dcterms:modified>
</cp:coreProperties>
</file>