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45" w:rsidRPr="001A75BB" w:rsidRDefault="004E3171" w:rsidP="004E3171">
      <w:pPr>
        <w:jc w:val="center"/>
        <w:rPr>
          <w:rFonts w:eastAsia="楷体_GB2312"/>
          <w:color w:val="000000"/>
          <w:sz w:val="24"/>
          <w:lang/>
        </w:rPr>
      </w:pPr>
      <w:r w:rsidRPr="001A75BB">
        <w:rPr>
          <w:rFonts w:eastAsiaTheme="majorEastAsia"/>
          <w:b/>
          <w:bCs/>
          <w:kern w:val="0"/>
          <w:sz w:val="30"/>
          <w:szCs w:val="32"/>
        </w:rPr>
        <w:t>汇</w:t>
      </w:r>
      <w:r w:rsidR="00AC7394" w:rsidRPr="001A75BB">
        <w:rPr>
          <w:rFonts w:eastAsiaTheme="majorEastAsia"/>
          <w:b/>
          <w:bCs/>
          <w:kern w:val="0"/>
          <w:sz w:val="30"/>
          <w:szCs w:val="32"/>
        </w:rPr>
        <w:t>添富基金管理股份有限公司关于调整旗下部分证券投资基金主流动性服务商为一般流动性服务商的公</w:t>
      </w:r>
      <w:r w:rsidRPr="001A75BB">
        <w:rPr>
          <w:rFonts w:eastAsiaTheme="majorEastAsia"/>
          <w:b/>
          <w:bCs/>
          <w:kern w:val="0"/>
          <w:sz w:val="30"/>
          <w:szCs w:val="32"/>
        </w:rPr>
        <w:t>告</w:t>
      </w:r>
    </w:p>
    <w:p w:rsidR="00AE1878" w:rsidRPr="001A75BB" w:rsidRDefault="00C903B7">
      <w:pPr>
        <w:spacing w:line="440" w:lineRule="exact"/>
        <w:ind w:firstLine="420"/>
        <w:rPr>
          <w:szCs w:val="21"/>
        </w:rPr>
      </w:pPr>
      <w:r w:rsidRPr="001A75BB">
        <w:rPr>
          <w:szCs w:val="21"/>
        </w:rPr>
        <w:t>根据《深圳证券交易所证券投资基金业务指引第</w:t>
      </w:r>
      <w:r w:rsidRPr="001A75BB">
        <w:rPr>
          <w:szCs w:val="21"/>
        </w:rPr>
        <w:t>2</w:t>
      </w:r>
      <w:r w:rsidRPr="001A75BB">
        <w:rPr>
          <w:szCs w:val="21"/>
        </w:rPr>
        <w:t>号</w:t>
      </w:r>
      <w:r w:rsidRPr="001A75BB">
        <w:rPr>
          <w:szCs w:val="21"/>
        </w:rPr>
        <w:t>——</w:t>
      </w:r>
      <w:r w:rsidRPr="001A75BB">
        <w:rPr>
          <w:szCs w:val="21"/>
        </w:rPr>
        <w:t>流动性服务》等有关规定，自</w:t>
      </w:r>
      <w:r w:rsidR="00AC7394" w:rsidRPr="001A75BB">
        <w:rPr>
          <w:szCs w:val="21"/>
        </w:rPr>
        <w:t>2024</w:t>
      </w:r>
      <w:r w:rsidR="00AC7394" w:rsidRPr="001A75BB">
        <w:rPr>
          <w:szCs w:val="21"/>
        </w:rPr>
        <w:t>年</w:t>
      </w:r>
      <w:r w:rsidR="00AC7394" w:rsidRPr="001A75BB">
        <w:rPr>
          <w:szCs w:val="21"/>
        </w:rPr>
        <w:t>3</w:t>
      </w:r>
      <w:r w:rsidR="00A95A4B" w:rsidRPr="001A75BB">
        <w:rPr>
          <w:szCs w:val="21"/>
        </w:rPr>
        <w:t>月</w:t>
      </w:r>
      <w:r w:rsidR="00AC7394" w:rsidRPr="001A75BB">
        <w:rPr>
          <w:szCs w:val="21"/>
        </w:rPr>
        <w:t>21</w:t>
      </w:r>
      <w:r w:rsidRPr="001A75BB">
        <w:rPr>
          <w:szCs w:val="21"/>
        </w:rPr>
        <w:t>日起，本公司</w:t>
      </w:r>
      <w:r w:rsidR="00AE1878" w:rsidRPr="001A75BB">
        <w:rPr>
          <w:szCs w:val="21"/>
        </w:rPr>
        <w:t>将下列证券投资基金的主流动性服务商调整为一般流动性服务商：</w:t>
      </w:r>
    </w:p>
    <w:p w:rsidR="00A95A4B" w:rsidRPr="001A75BB" w:rsidRDefault="00A95A4B" w:rsidP="00A95A4B">
      <w:pPr>
        <w:spacing w:line="440" w:lineRule="exact"/>
        <w:ind w:firstLineChars="200" w:firstLine="420"/>
        <w:rPr>
          <w:szCs w:val="21"/>
        </w:rPr>
      </w:pPr>
      <w:r w:rsidRPr="001A75BB">
        <w:rPr>
          <w:szCs w:val="21"/>
        </w:rPr>
        <w:t>1</w:t>
      </w:r>
      <w:r w:rsidRPr="001A75BB">
        <w:rPr>
          <w:szCs w:val="21"/>
        </w:rPr>
        <w:t>、</w:t>
      </w:r>
      <w:r w:rsidR="00AE1878" w:rsidRPr="001A75BB">
        <w:rPr>
          <w:szCs w:val="21"/>
        </w:rPr>
        <w:t>汇添富中证</w:t>
      </w:r>
      <w:r w:rsidR="00AE1878" w:rsidRPr="001A75BB">
        <w:rPr>
          <w:szCs w:val="21"/>
        </w:rPr>
        <w:t>2000</w:t>
      </w:r>
      <w:r w:rsidR="00AE1878" w:rsidRPr="001A75BB">
        <w:rPr>
          <w:szCs w:val="21"/>
        </w:rPr>
        <w:t>交易型开放式指数证券投资基金</w:t>
      </w:r>
      <w:r w:rsidRPr="001A75BB">
        <w:rPr>
          <w:szCs w:val="21"/>
        </w:rPr>
        <w:t>（</w:t>
      </w:r>
      <w:r w:rsidR="001A75BB">
        <w:rPr>
          <w:rFonts w:hint="eastAsia"/>
          <w:szCs w:val="21"/>
        </w:rPr>
        <w:t>基金代码：</w:t>
      </w:r>
      <w:r w:rsidR="00AE1878" w:rsidRPr="001A75BB">
        <w:rPr>
          <w:szCs w:val="21"/>
        </w:rPr>
        <w:t>159536</w:t>
      </w:r>
      <w:r w:rsidR="001A75BB">
        <w:rPr>
          <w:rFonts w:hint="eastAsia"/>
          <w:szCs w:val="21"/>
        </w:rPr>
        <w:t>；场内简称：</w:t>
      </w:r>
      <w:r w:rsidR="001A75BB" w:rsidRPr="001A75BB">
        <w:rPr>
          <w:rFonts w:hint="eastAsia"/>
          <w:szCs w:val="21"/>
        </w:rPr>
        <w:t>中证</w:t>
      </w:r>
      <w:r w:rsidR="001A75BB" w:rsidRPr="001A75BB">
        <w:rPr>
          <w:rFonts w:hint="eastAsia"/>
          <w:szCs w:val="21"/>
        </w:rPr>
        <w:t>2000ETF</w:t>
      </w:r>
      <w:r w:rsidR="001A75BB" w:rsidRPr="001A75BB">
        <w:rPr>
          <w:rFonts w:hint="eastAsia"/>
          <w:szCs w:val="21"/>
        </w:rPr>
        <w:t>添富</w:t>
      </w:r>
      <w:r w:rsidRPr="001A75BB">
        <w:rPr>
          <w:szCs w:val="21"/>
        </w:rPr>
        <w:t>）：</w:t>
      </w:r>
    </w:p>
    <w:p w:rsidR="00A95A4B" w:rsidRPr="001A75BB" w:rsidRDefault="00A95A4B" w:rsidP="00A95A4B">
      <w:pPr>
        <w:spacing w:line="440" w:lineRule="exact"/>
        <w:rPr>
          <w:szCs w:val="21"/>
        </w:rPr>
      </w:pPr>
      <w:r w:rsidRPr="001A75BB">
        <w:rPr>
          <w:szCs w:val="21"/>
        </w:rPr>
        <w:t xml:space="preserve">      </w:t>
      </w:r>
      <w:r w:rsidR="00AE1878" w:rsidRPr="001A75BB">
        <w:rPr>
          <w:szCs w:val="21"/>
        </w:rPr>
        <w:t>方正证券股份有限公司</w:t>
      </w:r>
    </w:p>
    <w:p w:rsidR="00A95A4B" w:rsidRPr="001A75BB" w:rsidRDefault="00A95A4B" w:rsidP="00A95A4B">
      <w:pPr>
        <w:spacing w:line="440" w:lineRule="exact"/>
        <w:rPr>
          <w:szCs w:val="21"/>
        </w:rPr>
      </w:pPr>
    </w:p>
    <w:p w:rsidR="00A95A4B" w:rsidRPr="001A75BB" w:rsidRDefault="00A95A4B" w:rsidP="00A95A4B">
      <w:pPr>
        <w:spacing w:line="440" w:lineRule="exact"/>
        <w:ind w:firstLineChars="200" w:firstLine="420"/>
        <w:rPr>
          <w:szCs w:val="21"/>
        </w:rPr>
      </w:pPr>
      <w:r w:rsidRPr="001A75BB">
        <w:rPr>
          <w:szCs w:val="21"/>
        </w:rPr>
        <w:t>2</w:t>
      </w:r>
      <w:r w:rsidRPr="001A75BB">
        <w:rPr>
          <w:szCs w:val="21"/>
        </w:rPr>
        <w:t>、汇添富中证沪港深互联网交易型开放式指数证券投资基金（</w:t>
      </w:r>
      <w:r w:rsidR="001A75BB" w:rsidRPr="001A75BB">
        <w:rPr>
          <w:rFonts w:hint="eastAsia"/>
          <w:szCs w:val="21"/>
        </w:rPr>
        <w:t>基金代码：</w:t>
      </w:r>
      <w:r w:rsidRPr="001A75BB">
        <w:rPr>
          <w:szCs w:val="21"/>
        </w:rPr>
        <w:t>159729</w:t>
      </w:r>
      <w:r w:rsidR="001A75BB">
        <w:rPr>
          <w:rFonts w:hint="eastAsia"/>
          <w:szCs w:val="21"/>
        </w:rPr>
        <w:t>；场内简称：</w:t>
      </w:r>
      <w:r w:rsidR="001A75BB" w:rsidRPr="001A75BB">
        <w:rPr>
          <w:rFonts w:hint="eastAsia"/>
          <w:szCs w:val="21"/>
        </w:rPr>
        <w:t>互联网</w:t>
      </w:r>
      <w:r w:rsidR="001A75BB" w:rsidRPr="001A75BB">
        <w:rPr>
          <w:rFonts w:hint="eastAsia"/>
          <w:szCs w:val="21"/>
        </w:rPr>
        <w:t xml:space="preserve"> ETF</w:t>
      </w:r>
      <w:r w:rsidRPr="001A75BB">
        <w:rPr>
          <w:szCs w:val="21"/>
        </w:rPr>
        <w:t>）：</w:t>
      </w:r>
    </w:p>
    <w:p w:rsidR="00A95A4B" w:rsidRPr="001A75BB" w:rsidRDefault="00A95A4B" w:rsidP="00A95A4B">
      <w:pPr>
        <w:spacing w:line="440" w:lineRule="exact"/>
        <w:rPr>
          <w:szCs w:val="21"/>
        </w:rPr>
      </w:pPr>
      <w:r w:rsidRPr="001A75BB">
        <w:rPr>
          <w:szCs w:val="21"/>
        </w:rPr>
        <w:t xml:space="preserve">      </w:t>
      </w:r>
      <w:r w:rsidRPr="001A75BB">
        <w:rPr>
          <w:szCs w:val="21"/>
        </w:rPr>
        <w:t>华泰证券股份有限公司</w:t>
      </w:r>
    </w:p>
    <w:p w:rsidR="00A95A4B" w:rsidRPr="001A75BB" w:rsidRDefault="00A95A4B" w:rsidP="00A95A4B">
      <w:pPr>
        <w:spacing w:line="440" w:lineRule="exact"/>
        <w:rPr>
          <w:szCs w:val="21"/>
        </w:rPr>
      </w:pPr>
      <w:r w:rsidRPr="001A75BB">
        <w:rPr>
          <w:szCs w:val="21"/>
        </w:rPr>
        <w:t xml:space="preserve">     </w:t>
      </w:r>
    </w:p>
    <w:p w:rsidR="00A95A4B" w:rsidRPr="001A75BB" w:rsidRDefault="00A95A4B" w:rsidP="00A95A4B">
      <w:pPr>
        <w:spacing w:line="440" w:lineRule="exact"/>
        <w:ind w:firstLineChars="200" w:firstLine="420"/>
        <w:rPr>
          <w:szCs w:val="21"/>
        </w:rPr>
      </w:pPr>
      <w:r w:rsidRPr="001A75BB">
        <w:rPr>
          <w:szCs w:val="21"/>
        </w:rPr>
        <w:t>3</w:t>
      </w:r>
      <w:r w:rsidRPr="001A75BB">
        <w:rPr>
          <w:szCs w:val="21"/>
        </w:rPr>
        <w:t>、</w:t>
      </w:r>
      <w:r w:rsidR="00AE1878" w:rsidRPr="001A75BB">
        <w:rPr>
          <w:szCs w:val="21"/>
        </w:rPr>
        <w:t>中证主要消费交易型开放式指数证券投资基金</w:t>
      </w:r>
      <w:r w:rsidRPr="001A75BB">
        <w:rPr>
          <w:szCs w:val="21"/>
        </w:rPr>
        <w:t>（</w:t>
      </w:r>
      <w:r w:rsidR="001A75BB">
        <w:rPr>
          <w:rFonts w:hint="eastAsia"/>
          <w:szCs w:val="21"/>
        </w:rPr>
        <w:t>基金代码：</w:t>
      </w:r>
      <w:r w:rsidR="00AE1878" w:rsidRPr="001A75BB">
        <w:rPr>
          <w:szCs w:val="21"/>
        </w:rPr>
        <w:t>159928</w:t>
      </w:r>
      <w:r w:rsidR="001A75BB">
        <w:rPr>
          <w:rFonts w:hint="eastAsia"/>
          <w:szCs w:val="21"/>
        </w:rPr>
        <w:t>；场内简称：</w:t>
      </w:r>
      <w:r w:rsidR="001A75BB" w:rsidRPr="001A75BB">
        <w:rPr>
          <w:rFonts w:hint="eastAsia"/>
          <w:szCs w:val="21"/>
        </w:rPr>
        <w:t>消费</w:t>
      </w:r>
      <w:r w:rsidR="001A75BB" w:rsidRPr="001A75BB">
        <w:rPr>
          <w:rFonts w:hint="eastAsia"/>
          <w:szCs w:val="21"/>
        </w:rPr>
        <w:t>ETF</w:t>
      </w:r>
      <w:r w:rsidRPr="001A75BB">
        <w:rPr>
          <w:szCs w:val="21"/>
        </w:rPr>
        <w:t>）：</w:t>
      </w:r>
    </w:p>
    <w:p w:rsidR="00AE1878" w:rsidRPr="001A75BB" w:rsidRDefault="00A95A4B" w:rsidP="00A95A4B">
      <w:pPr>
        <w:spacing w:line="440" w:lineRule="exact"/>
        <w:ind w:firstLineChars="200" w:firstLine="420"/>
        <w:rPr>
          <w:szCs w:val="21"/>
        </w:rPr>
      </w:pPr>
      <w:r w:rsidRPr="001A75BB">
        <w:rPr>
          <w:szCs w:val="21"/>
        </w:rPr>
        <w:t xml:space="preserve">  </w:t>
      </w:r>
      <w:r w:rsidR="00AE1878" w:rsidRPr="001A75BB">
        <w:rPr>
          <w:szCs w:val="21"/>
        </w:rPr>
        <w:t>华泰证券股份有限公司</w:t>
      </w:r>
    </w:p>
    <w:p w:rsidR="002466D7" w:rsidRPr="001A75BB" w:rsidRDefault="002466D7" w:rsidP="009A7948">
      <w:pPr>
        <w:spacing w:line="440" w:lineRule="exact"/>
        <w:ind w:firstLineChars="200" w:firstLine="420"/>
        <w:rPr>
          <w:szCs w:val="21"/>
        </w:rPr>
      </w:pPr>
    </w:p>
    <w:p w:rsidR="001E0445" w:rsidRPr="001A75BB" w:rsidRDefault="00C903B7">
      <w:pPr>
        <w:spacing w:line="440" w:lineRule="exact"/>
        <w:ind w:firstLine="420"/>
        <w:jc w:val="left"/>
        <w:rPr>
          <w:szCs w:val="21"/>
        </w:rPr>
      </w:pPr>
      <w:r w:rsidRPr="001A75BB">
        <w:rPr>
          <w:szCs w:val="21"/>
        </w:rPr>
        <w:t>特此</w:t>
      </w:r>
      <w:r w:rsidR="00336B1B" w:rsidRPr="001A75BB">
        <w:rPr>
          <w:szCs w:val="21"/>
        </w:rPr>
        <w:t>公告</w:t>
      </w:r>
      <w:r w:rsidRPr="001A75BB">
        <w:rPr>
          <w:szCs w:val="21"/>
        </w:rPr>
        <w:t>。</w:t>
      </w:r>
    </w:p>
    <w:p w:rsidR="001E0445" w:rsidRDefault="00C903B7">
      <w:pPr>
        <w:spacing w:line="440" w:lineRule="exact"/>
        <w:ind w:firstLine="420"/>
        <w:jc w:val="right"/>
        <w:rPr>
          <w:rFonts w:ascii="宋体" w:hAnsi="宋体"/>
          <w:szCs w:val="21"/>
        </w:rPr>
      </w:pPr>
      <w:r>
        <w:rPr>
          <w:rFonts w:ascii="宋体" w:hAnsi="宋体" w:hint="eastAsia"/>
          <w:szCs w:val="21"/>
        </w:rPr>
        <w:t xml:space="preserve"> </w:t>
      </w:r>
    </w:p>
    <w:p w:rsidR="00441898" w:rsidRPr="001A75BB" w:rsidRDefault="00441898">
      <w:pPr>
        <w:spacing w:line="440" w:lineRule="exact"/>
        <w:ind w:firstLine="420"/>
        <w:jc w:val="right"/>
        <w:rPr>
          <w:szCs w:val="21"/>
        </w:rPr>
      </w:pPr>
      <w:r w:rsidRPr="001A75BB">
        <w:rPr>
          <w:szCs w:val="21"/>
        </w:rPr>
        <w:t>汇添富基金管理股份有限公司</w:t>
      </w:r>
    </w:p>
    <w:p w:rsidR="001E0445" w:rsidRPr="001A75BB" w:rsidRDefault="00AE1878">
      <w:pPr>
        <w:spacing w:line="440" w:lineRule="exact"/>
        <w:ind w:firstLine="420"/>
        <w:jc w:val="right"/>
        <w:rPr>
          <w:szCs w:val="21"/>
        </w:rPr>
      </w:pPr>
      <w:r w:rsidRPr="001A75BB">
        <w:rPr>
          <w:szCs w:val="21"/>
        </w:rPr>
        <w:t>2024</w:t>
      </w:r>
      <w:r w:rsidRPr="001A75BB">
        <w:rPr>
          <w:szCs w:val="21"/>
        </w:rPr>
        <w:t>年</w:t>
      </w:r>
      <w:r w:rsidRPr="001A75BB">
        <w:rPr>
          <w:szCs w:val="21"/>
        </w:rPr>
        <w:t>3</w:t>
      </w:r>
      <w:r w:rsidR="00A95A4B" w:rsidRPr="001A75BB">
        <w:rPr>
          <w:szCs w:val="21"/>
        </w:rPr>
        <w:t>月</w:t>
      </w:r>
      <w:r w:rsidRPr="001A75BB">
        <w:rPr>
          <w:szCs w:val="21"/>
        </w:rPr>
        <w:t>25</w:t>
      </w:r>
      <w:r w:rsidR="00C903B7" w:rsidRPr="001A75BB">
        <w:rPr>
          <w:szCs w:val="21"/>
        </w:rPr>
        <w:t>日</w:t>
      </w:r>
    </w:p>
    <w:p w:rsidR="001E0445" w:rsidRDefault="001E0445">
      <w:pPr>
        <w:spacing w:line="440" w:lineRule="exact"/>
        <w:rPr>
          <w:rFonts w:ascii="宋体" w:hAnsi="宋体"/>
          <w:szCs w:val="21"/>
        </w:rPr>
      </w:pPr>
    </w:p>
    <w:p w:rsidR="001E0445" w:rsidRDefault="001E0445">
      <w:pPr>
        <w:ind w:firstLine="420"/>
        <w:jc w:val="left"/>
        <w:rPr>
          <w:rFonts w:ascii="宋体" w:eastAsia="楷体_GB2312" w:hAnsi="宋体" w:cs="楷体_GB2312"/>
          <w:color w:val="000000"/>
          <w:sz w:val="24"/>
          <w:lang/>
        </w:rPr>
      </w:pPr>
    </w:p>
    <w:p w:rsidR="001E0445" w:rsidRDefault="001E0445"/>
    <w:sectPr w:rsidR="001E0445" w:rsidSect="002E11E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6EE" w:rsidRDefault="00E206EE">
      <w:r>
        <w:separator/>
      </w:r>
    </w:p>
  </w:endnote>
  <w:endnote w:type="continuationSeparator" w:id="0">
    <w:p w:rsidR="00E206EE" w:rsidRDefault="00E206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646986"/>
      <w:showingPlcHdr/>
    </w:sdtPr>
    <w:sdtContent>
      <w:p w:rsidR="00F04AD9" w:rsidRDefault="00C821EB">
        <w:pPr>
          <w:pStyle w:val="a3"/>
          <w:jc w:val="right"/>
        </w:pPr>
        <w:r>
          <w:t xml:space="preserve">     </w:t>
        </w:r>
      </w:p>
    </w:sdtContent>
  </w:sdt>
  <w:p w:rsidR="00F04AD9" w:rsidRDefault="00F04AD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6EE" w:rsidRDefault="00E206EE">
      <w:r>
        <w:separator/>
      </w:r>
    </w:p>
  </w:footnote>
  <w:footnote w:type="continuationSeparator" w:id="0">
    <w:p w:rsidR="00E206EE" w:rsidRDefault="00E20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F37E"/>
    <w:multiLevelType w:val="singleLevel"/>
    <w:tmpl w:val="17E9F37E"/>
    <w:lvl w:ilvl="0">
      <w:start w:val="1"/>
      <w:numFmt w:val="decimal"/>
      <w:pStyle w:val="1"/>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0445"/>
    <w:rsid w:val="00045E90"/>
    <w:rsid w:val="00055D46"/>
    <w:rsid w:val="00094536"/>
    <w:rsid w:val="00095DA6"/>
    <w:rsid w:val="000A4EA9"/>
    <w:rsid w:val="00147A12"/>
    <w:rsid w:val="001A75BB"/>
    <w:rsid w:val="001E0445"/>
    <w:rsid w:val="002271BC"/>
    <w:rsid w:val="002466D7"/>
    <w:rsid w:val="002E11EF"/>
    <w:rsid w:val="002E161C"/>
    <w:rsid w:val="00336B1B"/>
    <w:rsid w:val="00441898"/>
    <w:rsid w:val="004E3171"/>
    <w:rsid w:val="00643A48"/>
    <w:rsid w:val="006D106E"/>
    <w:rsid w:val="009A7948"/>
    <w:rsid w:val="00A95A4B"/>
    <w:rsid w:val="00AC7394"/>
    <w:rsid w:val="00AE1878"/>
    <w:rsid w:val="00B74206"/>
    <w:rsid w:val="00C821EB"/>
    <w:rsid w:val="00C903B7"/>
    <w:rsid w:val="00DB0BCF"/>
    <w:rsid w:val="00DB1DFC"/>
    <w:rsid w:val="00E206EE"/>
    <w:rsid w:val="00E72893"/>
    <w:rsid w:val="00E74B67"/>
    <w:rsid w:val="00E90F6E"/>
    <w:rsid w:val="00F04AD9"/>
    <w:rsid w:val="00F72879"/>
    <w:rsid w:val="016E2F6B"/>
    <w:rsid w:val="16BE465E"/>
    <w:rsid w:val="3EB34A07"/>
    <w:rsid w:val="4D022171"/>
    <w:rsid w:val="64B36465"/>
    <w:rsid w:val="686D0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1EF"/>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2E11EF"/>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2E11EF"/>
    <w:pPr>
      <w:tabs>
        <w:tab w:val="center" w:pos="4153"/>
        <w:tab w:val="right" w:pos="8306"/>
      </w:tabs>
      <w:snapToGrid w:val="0"/>
      <w:jc w:val="left"/>
    </w:pPr>
    <w:rPr>
      <w:sz w:val="18"/>
      <w:szCs w:val="18"/>
    </w:rPr>
  </w:style>
  <w:style w:type="paragraph" w:customStyle="1" w:styleId="1">
    <w:name w:val="样式1"/>
    <w:basedOn w:val="4"/>
    <w:next w:val="a"/>
    <w:qFormat/>
    <w:rsid w:val="002E11EF"/>
    <w:pPr>
      <w:numPr>
        <w:numId w:val="1"/>
      </w:numPr>
    </w:pPr>
    <w:rPr>
      <w:rFonts w:asciiTheme="minorHAnsi" w:hAnsiTheme="minorHAnsi"/>
      <w:sz w:val="24"/>
    </w:rPr>
  </w:style>
  <w:style w:type="paragraph" w:styleId="a4">
    <w:name w:val="header"/>
    <w:basedOn w:val="a"/>
    <w:link w:val="Char"/>
    <w:rsid w:val="000945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94536"/>
    <w:rPr>
      <w:rFonts w:ascii="Times New Roman" w:eastAsia="宋体" w:hAnsi="Times New Roman" w:cs="Times New Roman"/>
      <w:kern w:val="2"/>
      <w:sz w:val="18"/>
      <w:szCs w:val="18"/>
    </w:rPr>
  </w:style>
  <w:style w:type="paragraph" w:styleId="a5">
    <w:name w:val="Revision"/>
    <w:hidden/>
    <w:uiPriority w:val="99"/>
    <w:semiHidden/>
    <w:rsid w:val="00AC7394"/>
    <w:rPr>
      <w:rFonts w:ascii="Times New Roman" w:eastAsia="宋体" w:hAnsi="Times New Roman" w:cs="Times New Roman"/>
      <w:kern w:val="2"/>
      <w:sz w:val="21"/>
      <w:szCs w:val="24"/>
    </w:rPr>
  </w:style>
  <w:style w:type="paragraph" w:styleId="a6">
    <w:name w:val="Balloon Text"/>
    <w:basedOn w:val="a"/>
    <w:link w:val="Char0"/>
    <w:rsid w:val="00147A12"/>
    <w:rPr>
      <w:sz w:val="18"/>
      <w:szCs w:val="18"/>
    </w:rPr>
  </w:style>
  <w:style w:type="character" w:customStyle="1" w:styleId="Char0">
    <w:name w:val="批注框文本 Char"/>
    <w:basedOn w:val="a0"/>
    <w:link w:val="a6"/>
    <w:rsid w:val="00147A1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2148-D1D2-4C7B-B144-611E8E4E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4</DocSecurity>
  <Lines>2</Lines>
  <Paragraphs>1</Paragraphs>
  <ScaleCrop>false</ScaleCrop>
  <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2024-03-24T16:01:00Z</dcterms:created>
  <dcterms:modified xsi:type="dcterms:W3CDTF">2024-03-24T16:01:00Z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EC9E47BA1D374456BFA95E6D35A111C8</vt:lpwstr>
  </property>
</Properties>
</file>