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114" w:rsidRDefault="005E5114">
      <w:pPr>
        <w:pStyle w:val="biaogecenter"/>
        <w:rPr>
          <w:sz w:val="30"/>
          <w:szCs w:val="30"/>
        </w:rPr>
      </w:pPr>
      <w:r>
        <w:rPr>
          <w:rFonts w:hint="eastAsia"/>
          <w:b/>
          <w:bCs/>
          <w:sz w:val="30"/>
          <w:szCs w:val="30"/>
        </w:rPr>
        <w:t>中泰锦泉汇金货币市场基金收益支付公告</w:t>
      </w:r>
    </w:p>
    <w:p w:rsidR="005E5114" w:rsidRDefault="005E5114">
      <w:pPr>
        <w:pStyle w:val="biaogecenter"/>
        <w:rPr>
          <w:rFonts w:hint="eastAsia"/>
        </w:rPr>
      </w:pPr>
    </w:p>
    <w:p w:rsidR="005E5114" w:rsidRDefault="005E5114">
      <w:pPr>
        <w:pStyle w:val="biaogecenter"/>
        <w:rPr>
          <w:rFonts w:hint="eastAsia"/>
        </w:rPr>
      </w:pPr>
      <w:r>
        <w:rPr>
          <w:rFonts w:hint="eastAsia"/>
        </w:rPr>
        <w:t>公告送出日期：2024年03月25日</w:t>
      </w:r>
    </w:p>
    <w:p w:rsidR="005E5114" w:rsidRDefault="005E5114">
      <w:pPr>
        <w:pStyle w:val="dazhangjie"/>
        <w:divId w:val="476607106"/>
        <w:rPr>
          <w:rFonts w:hint="eastAsia"/>
        </w:rPr>
      </w:pPr>
      <w:r>
        <w:rPr>
          <w:rFonts w:hint="eastAsia"/>
          <w:b/>
          <w:bCs/>
        </w:rPr>
        <w:t>1、 公告基本信息</w:t>
      </w:r>
    </w:p>
    <w:p w:rsidR="005E5114" w:rsidRDefault="005E5114">
      <w:pPr>
        <w:widowControl/>
        <w:jc w:val="left"/>
        <w:divId w:val="476607106"/>
        <w:rPr>
          <w:rFonts w:ascii="宋体" w:hAnsi="宋体" w:cs="宋体" w:hint="eastAsia"/>
          <w:kern w:val="0"/>
          <w:sz w:val="24"/>
          <w:szCs w:val="24"/>
        </w:rPr>
      </w:pPr>
    </w:p>
    <w:tbl>
      <w:tblPr>
        <w:tblW w:w="0" w:type="auto"/>
        <w:tblInd w:w="108" w:type="dxa"/>
        <w:tblLook w:val="04A0"/>
      </w:tblPr>
      <w:tblGrid>
        <w:gridCol w:w="2091"/>
        <w:gridCol w:w="7107"/>
      </w:tblGrid>
      <w:tr w:rsidR="005E5114" w:rsidRPr="00DA78DF">
        <w:trPr>
          <w:divId w:val="476607106"/>
        </w:trPr>
        <w:tc>
          <w:tcPr>
            <w:tcW w:w="4009" w:type="dxa"/>
            <w:tcBorders>
              <w:top w:val="single" w:sz="8" w:space="0" w:color="000000"/>
              <w:left w:val="single" w:sz="8" w:space="0" w:color="000000"/>
              <w:bottom w:val="single" w:sz="8" w:space="0" w:color="000000"/>
              <w:right w:val="single" w:sz="8" w:space="0" w:color="000000"/>
            </w:tcBorders>
            <w:vAlign w:val="center"/>
            <w:hideMark/>
          </w:tcPr>
          <w:p w:rsidR="005E5114" w:rsidRDefault="005E5114">
            <w:pPr>
              <w:pStyle w:val="biaogeleft"/>
              <w:wordWrap w:val="0"/>
              <w:rPr>
                <w:rFonts w:hint="eastAsia"/>
              </w:rPr>
            </w:pPr>
            <w:r>
              <w:rPr>
                <w:rFonts w:hint="eastAsia"/>
              </w:rPr>
              <w:t>基金名称</w:t>
            </w:r>
          </w:p>
        </w:tc>
        <w:tc>
          <w:tcPr>
            <w:tcW w:w="3645" w:type="dxa"/>
            <w:tcBorders>
              <w:top w:val="single" w:sz="8" w:space="0" w:color="000000"/>
              <w:left w:val="single" w:sz="8" w:space="0" w:color="000000"/>
              <w:bottom w:val="single" w:sz="8" w:space="0" w:color="000000"/>
              <w:right w:val="single" w:sz="8" w:space="0" w:color="000000"/>
            </w:tcBorders>
            <w:vAlign w:val="center"/>
            <w:hideMark/>
          </w:tcPr>
          <w:p w:rsidR="005E5114" w:rsidRDefault="005E5114">
            <w:pPr>
              <w:pStyle w:val="biaogeleft"/>
              <w:wordWrap w:val="0"/>
              <w:rPr>
                <w:rFonts w:hint="eastAsia"/>
              </w:rPr>
            </w:pPr>
            <w:r>
              <w:rPr>
                <w:rFonts w:hint="eastAsia"/>
              </w:rPr>
              <w:t>中泰锦泉汇金货币市场基金</w:t>
            </w:r>
          </w:p>
        </w:tc>
      </w:tr>
      <w:tr w:rsidR="005E5114" w:rsidRPr="00DA78DF">
        <w:trPr>
          <w:divId w:val="476607106"/>
        </w:trPr>
        <w:tc>
          <w:tcPr>
            <w:tcW w:w="4009" w:type="dxa"/>
            <w:tcBorders>
              <w:top w:val="single" w:sz="8" w:space="0" w:color="000000"/>
              <w:left w:val="single" w:sz="8" w:space="0" w:color="000000"/>
              <w:bottom w:val="single" w:sz="8" w:space="0" w:color="000000"/>
              <w:right w:val="single" w:sz="8" w:space="0" w:color="000000"/>
            </w:tcBorders>
            <w:vAlign w:val="center"/>
            <w:hideMark/>
          </w:tcPr>
          <w:p w:rsidR="005E5114" w:rsidRDefault="005E5114">
            <w:pPr>
              <w:pStyle w:val="biaogeleft"/>
              <w:wordWrap w:val="0"/>
              <w:rPr>
                <w:rFonts w:hint="eastAsia"/>
              </w:rPr>
            </w:pPr>
            <w:r>
              <w:rPr>
                <w:rFonts w:hint="eastAsia"/>
              </w:rPr>
              <w:t>基金简称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E5114" w:rsidRDefault="005E5114">
            <w:pPr>
              <w:pStyle w:val="biaogeleft"/>
              <w:wordWrap w:val="0"/>
              <w:rPr>
                <w:rFonts w:hint="eastAsia"/>
              </w:rPr>
            </w:pPr>
            <w:r>
              <w:rPr>
                <w:rFonts w:hint="eastAsia"/>
              </w:rPr>
              <w:t>中泰锦泉汇金货币</w:t>
            </w:r>
          </w:p>
        </w:tc>
      </w:tr>
      <w:tr w:rsidR="005E5114" w:rsidRPr="00DA78DF">
        <w:trPr>
          <w:divId w:val="476607106"/>
        </w:trPr>
        <w:tc>
          <w:tcPr>
            <w:tcW w:w="4009" w:type="dxa"/>
            <w:tcBorders>
              <w:top w:val="single" w:sz="8" w:space="0" w:color="000000"/>
              <w:left w:val="single" w:sz="8" w:space="0" w:color="000000"/>
              <w:bottom w:val="single" w:sz="8" w:space="0" w:color="000000"/>
              <w:right w:val="single" w:sz="8" w:space="0" w:color="000000"/>
            </w:tcBorders>
            <w:vAlign w:val="center"/>
            <w:hideMark/>
          </w:tcPr>
          <w:p w:rsidR="005E5114" w:rsidRDefault="005E5114">
            <w:pPr>
              <w:pStyle w:val="biaogeleft"/>
              <w:wordWrap w:val="0"/>
              <w:rPr>
                <w:rFonts w:hint="eastAsia"/>
              </w:rPr>
            </w:pPr>
            <w:r>
              <w:rPr>
                <w:rFonts w:hint="eastAsia"/>
              </w:rPr>
              <w:t>基金主代码</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E5114" w:rsidRDefault="005E5114">
            <w:pPr>
              <w:pStyle w:val="biaogeleft"/>
              <w:wordWrap w:val="0"/>
              <w:rPr>
                <w:rFonts w:hint="eastAsia"/>
              </w:rPr>
            </w:pPr>
            <w:r>
              <w:rPr>
                <w:rFonts w:hint="eastAsia"/>
              </w:rPr>
              <w:t>014822</w:t>
            </w:r>
          </w:p>
        </w:tc>
      </w:tr>
      <w:tr w:rsidR="005E5114" w:rsidRPr="00DA78DF">
        <w:trPr>
          <w:divId w:val="476607106"/>
        </w:trPr>
        <w:tc>
          <w:tcPr>
            <w:tcW w:w="4009" w:type="dxa"/>
            <w:tcBorders>
              <w:top w:val="single" w:sz="8" w:space="0" w:color="000000"/>
              <w:left w:val="single" w:sz="8" w:space="0" w:color="000000"/>
              <w:bottom w:val="single" w:sz="8" w:space="0" w:color="000000"/>
              <w:right w:val="single" w:sz="8" w:space="0" w:color="000000"/>
            </w:tcBorders>
            <w:vAlign w:val="center"/>
            <w:hideMark/>
          </w:tcPr>
          <w:p w:rsidR="005E5114" w:rsidRDefault="005E5114">
            <w:pPr>
              <w:pStyle w:val="biaogeleft"/>
              <w:wordWrap w:val="0"/>
              <w:rPr>
                <w:rFonts w:hint="eastAsia"/>
              </w:rPr>
            </w:pPr>
            <w:r>
              <w:rPr>
                <w:rFonts w:hint="eastAsia"/>
              </w:rPr>
              <w:t>基金合同生效日</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E5114" w:rsidRDefault="005E5114">
            <w:pPr>
              <w:pStyle w:val="biaogeleft"/>
              <w:wordWrap w:val="0"/>
              <w:rPr>
                <w:rFonts w:hint="eastAsia"/>
              </w:rPr>
            </w:pPr>
            <w:r>
              <w:rPr>
                <w:rFonts w:hint="eastAsia"/>
              </w:rPr>
              <w:t>2022年02月28日</w:t>
            </w:r>
          </w:p>
        </w:tc>
      </w:tr>
      <w:tr w:rsidR="005E5114" w:rsidRPr="00DA78DF">
        <w:trPr>
          <w:divId w:val="476607106"/>
        </w:trPr>
        <w:tc>
          <w:tcPr>
            <w:tcW w:w="4009" w:type="dxa"/>
            <w:tcBorders>
              <w:top w:val="single" w:sz="8" w:space="0" w:color="000000"/>
              <w:left w:val="single" w:sz="8" w:space="0" w:color="000000"/>
              <w:bottom w:val="single" w:sz="8" w:space="0" w:color="000000"/>
              <w:right w:val="single" w:sz="8" w:space="0" w:color="000000"/>
            </w:tcBorders>
            <w:vAlign w:val="center"/>
            <w:hideMark/>
          </w:tcPr>
          <w:p w:rsidR="005E5114" w:rsidRDefault="005E5114">
            <w:pPr>
              <w:pStyle w:val="biaogeleft"/>
              <w:wordWrap w:val="0"/>
              <w:rPr>
                <w:rFonts w:hint="eastAsia"/>
              </w:rPr>
            </w:pPr>
            <w:r>
              <w:rPr>
                <w:rFonts w:hint="eastAsia"/>
              </w:rPr>
              <w:t>基金管理人名称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E5114" w:rsidRDefault="005E5114">
            <w:pPr>
              <w:pStyle w:val="biaogeleft"/>
              <w:wordWrap w:val="0"/>
              <w:rPr>
                <w:rFonts w:hint="eastAsia"/>
              </w:rPr>
            </w:pPr>
            <w:r>
              <w:rPr>
                <w:rFonts w:hint="eastAsia"/>
              </w:rPr>
              <w:t>中泰证券（上海）资产管理有限公司</w:t>
            </w:r>
          </w:p>
        </w:tc>
      </w:tr>
      <w:tr w:rsidR="005E5114" w:rsidRPr="00DA78DF">
        <w:trPr>
          <w:divId w:val="476607106"/>
        </w:trPr>
        <w:tc>
          <w:tcPr>
            <w:tcW w:w="4009" w:type="dxa"/>
            <w:tcBorders>
              <w:top w:val="single" w:sz="8" w:space="0" w:color="000000"/>
              <w:left w:val="single" w:sz="8" w:space="0" w:color="000000"/>
              <w:bottom w:val="single" w:sz="8" w:space="0" w:color="000000"/>
              <w:right w:val="single" w:sz="8" w:space="0" w:color="000000"/>
            </w:tcBorders>
            <w:vAlign w:val="center"/>
            <w:hideMark/>
          </w:tcPr>
          <w:p w:rsidR="005E5114" w:rsidRDefault="005E5114">
            <w:pPr>
              <w:pStyle w:val="biaogeleft"/>
              <w:wordWrap w:val="0"/>
              <w:rPr>
                <w:rFonts w:hint="eastAsia"/>
              </w:rPr>
            </w:pPr>
            <w:r>
              <w:rPr>
                <w:rFonts w:hint="eastAsia"/>
              </w:rPr>
              <w:t>公告依据</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E5114" w:rsidRDefault="005E5114">
            <w:pPr>
              <w:pStyle w:val="biaogeleft"/>
              <w:wordWrap w:val="0"/>
              <w:rPr>
                <w:rFonts w:hint="eastAsia"/>
              </w:rPr>
            </w:pPr>
            <w:r>
              <w:rPr>
                <w:rFonts w:hint="eastAsia"/>
              </w:rPr>
              <w:t>《公开募集证券投资基金信息披露管理办法》、《中泰锦泉汇金货币市场基金基金合同》、《中泰锦泉汇金货币市场基金招募说明书》</w:t>
            </w:r>
          </w:p>
        </w:tc>
      </w:tr>
      <w:tr w:rsidR="005E5114" w:rsidRPr="00DA78DF">
        <w:trPr>
          <w:divId w:val="476607106"/>
        </w:trPr>
        <w:tc>
          <w:tcPr>
            <w:tcW w:w="4005" w:type="dxa"/>
            <w:tcBorders>
              <w:top w:val="single" w:sz="8" w:space="0" w:color="000000"/>
              <w:left w:val="single" w:sz="8" w:space="0" w:color="000000"/>
              <w:bottom w:val="single" w:sz="8" w:space="0" w:color="000000"/>
              <w:right w:val="single" w:sz="8" w:space="0" w:color="000000"/>
            </w:tcBorders>
            <w:vAlign w:val="center"/>
            <w:hideMark/>
          </w:tcPr>
          <w:p w:rsidR="005E5114" w:rsidRDefault="005E5114">
            <w:pPr>
              <w:pStyle w:val="biaogeleft"/>
              <w:wordWrap w:val="0"/>
              <w:rPr>
                <w:rFonts w:hint="eastAsia"/>
              </w:rPr>
            </w:pPr>
            <w:r>
              <w:rPr>
                <w:rFonts w:hint="eastAsia"/>
              </w:rPr>
              <w:t>收益集中支付日期</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E5114" w:rsidRDefault="005E5114">
            <w:pPr>
              <w:pStyle w:val="biaogeleft"/>
              <w:wordWrap w:val="0"/>
              <w:rPr>
                <w:rFonts w:hint="eastAsia"/>
              </w:rPr>
            </w:pPr>
            <w:r>
              <w:rPr>
                <w:rFonts w:hint="eastAsia"/>
              </w:rPr>
              <w:t>2024-03-22</w:t>
            </w:r>
          </w:p>
        </w:tc>
      </w:tr>
      <w:tr w:rsidR="005E5114" w:rsidRPr="00DA78DF">
        <w:trPr>
          <w:divId w:val="476607106"/>
        </w:trPr>
        <w:tc>
          <w:tcPr>
            <w:tcW w:w="4009" w:type="dxa"/>
            <w:tcBorders>
              <w:top w:val="single" w:sz="8" w:space="0" w:color="000000"/>
              <w:left w:val="single" w:sz="8" w:space="0" w:color="000000"/>
              <w:bottom w:val="single" w:sz="8" w:space="0" w:color="000000"/>
              <w:right w:val="single" w:sz="8" w:space="0" w:color="000000"/>
            </w:tcBorders>
            <w:vAlign w:val="center"/>
            <w:hideMark/>
          </w:tcPr>
          <w:p w:rsidR="005E5114" w:rsidRDefault="005E5114">
            <w:pPr>
              <w:pStyle w:val="biaogeleft"/>
              <w:wordWrap w:val="0"/>
              <w:rPr>
                <w:rFonts w:hint="eastAsia"/>
              </w:rPr>
            </w:pPr>
            <w:r>
              <w:rPr>
                <w:rFonts w:hint="eastAsia"/>
              </w:rPr>
              <w:t>收益累计期间</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E5114" w:rsidRDefault="005E5114">
            <w:pPr>
              <w:pStyle w:val="biaogeleft"/>
              <w:wordWrap w:val="0"/>
              <w:rPr>
                <w:rFonts w:hint="eastAsia"/>
              </w:rPr>
            </w:pPr>
            <w:r>
              <w:rPr>
                <w:rFonts w:hint="eastAsia"/>
              </w:rPr>
              <w:t>自2024-02-23至2024-03-24止</w:t>
            </w:r>
          </w:p>
        </w:tc>
      </w:tr>
    </w:tbl>
    <w:p w:rsidR="005E5114" w:rsidRDefault="005E5114">
      <w:pPr>
        <w:widowControl/>
        <w:jc w:val="left"/>
        <w:rPr>
          <w:rFonts w:ascii="宋体" w:hAnsi="宋体" w:cs="宋体" w:hint="eastAsia"/>
          <w:kern w:val="0"/>
          <w:sz w:val="24"/>
          <w:szCs w:val="24"/>
        </w:rPr>
      </w:pPr>
    </w:p>
    <w:p w:rsidR="005E5114" w:rsidRDefault="005E5114">
      <w:pPr>
        <w:pStyle w:val="dazhangjie"/>
        <w:divId w:val="740099608"/>
        <w:rPr>
          <w:rFonts w:hint="eastAsia"/>
        </w:rPr>
      </w:pPr>
      <w:r>
        <w:rPr>
          <w:rFonts w:hint="eastAsia"/>
          <w:b/>
          <w:bCs/>
        </w:rPr>
        <w:t>2、与收益支付相关的其他信息</w:t>
      </w:r>
    </w:p>
    <w:p w:rsidR="005E5114" w:rsidRDefault="005E5114">
      <w:pPr>
        <w:widowControl/>
        <w:jc w:val="left"/>
        <w:divId w:val="740099608"/>
        <w:rPr>
          <w:rFonts w:ascii="宋体" w:hAnsi="宋体" w:cs="宋体" w:hint="eastAsia"/>
          <w:kern w:val="0"/>
          <w:sz w:val="24"/>
          <w:szCs w:val="24"/>
        </w:rPr>
      </w:pPr>
    </w:p>
    <w:tbl>
      <w:tblPr>
        <w:tblW w:w="8250" w:type="dxa"/>
        <w:tblInd w:w="108" w:type="dxa"/>
        <w:tblLook w:val="04A0"/>
      </w:tblPr>
      <w:tblGrid>
        <w:gridCol w:w="3072"/>
        <w:gridCol w:w="5178"/>
      </w:tblGrid>
      <w:tr w:rsidR="005E5114" w:rsidRPr="00DA78DF">
        <w:trPr>
          <w:divId w:val="740099608"/>
        </w:trPr>
        <w:tc>
          <w:tcPr>
            <w:tcW w:w="3000" w:type="dxa"/>
            <w:tcBorders>
              <w:top w:val="single" w:sz="8" w:space="0" w:color="000000"/>
              <w:left w:val="single" w:sz="8" w:space="0" w:color="000000"/>
              <w:bottom w:val="single" w:sz="8" w:space="0" w:color="000000"/>
              <w:right w:val="single" w:sz="8" w:space="0" w:color="000000"/>
            </w:tcBorders>
            <w:vAlign w:val="center"/>
            <w:hideMark/>
          </w:tcPr>
          <w:p w:rsidR="005E5114" w:rsidRDefault="005E5114">
            <w:pPr>
              <w:pStyle w:val="biaogeleft"/>
              <w:wordWrap w:val="0"/>
              <w:rPr>
                <w:rFonts w:hint="eastAsia"/>
              </w:rPr>
            </w:pPr>
            <w:r>
              <w:rPr>
                <w:rFonts w:hint="eastAsia"/>
              </w:rPr>
              <w:t>累计收益计算公式</w:t>
            </w:r>
          </w:p>
        </w:tc>
        <w:tc>
          <w:tcPr>
            <w:tcW w:w="5057" w:type="dxa"/>
            <w:tcBorders>
              <w:top w:val="single" w:sz="8" w:space="0" w:color="000000"/>
              <w:left w:val="single" w:sz="8" w:space="0" w:color="000000"/>
              <w:bottom w:val="single" w:sz="8" w:space="0" w:color="000000"/>
              <w:right w:val="single" w:sz="8" w:space="0" w:color="000000"/>
            </w:tcBorders>
            <w:vAlign w:val="center"/>
            <w:hideMark/>
          </w:tcPr>
          <w:p w:rsidR="005E5114" w:rsidRDefault="005E5114">
            <w:pPr>
              <w:pStyle w:val="biaogeleft"/>
              <w:wordWrap w:val="0"/>
              <w:rPr>
                <w:rFonts w:hint="eastAsia"/>
              </w:rPr>
            </w:pPr>
            <w:r>
              <w:rPr>
                <w:rFonts w:hint="eastAsia"/>
              </w:rPr>
              <w:t>基金份额持有人累计收益＝Σ基金份额持有人日收益 (即基金份额持有人日收益逐日累加) ，基金份额持有人日收益＝基金份额持有人当日持有的基金份额/该基金当日总份额×当日总收益(计算结果以去尾方式保留到"分"，即保留两位小数后去尾)。</w:t>
            </w:r>
          </w:p>
        </w:tc>
      </w:tr>
      <w:tr w:rsidR="005E5114" w:rsidRPr="00DA78DF">
        <w:trPr>
          <w:divId w:val="740099608"/>
        </w:trPr>
        <w:tc>
          <w:tcPr>
            <w:tcW w:w="3000" w:type="dxa"/>
            <w:tcBorders>
              <w:top w:val="single" w:sz="8" w:space="0" w:color="000000"/>
              <w:left w:val="single" w:sz="8" w:space="0" w:color="000000"/>
              <w:bottom w:val="single" w:sz="8" w:space="0" w:color="000000"/>
              <w:right w:val="single" w:sz="8" w:space="0" w:color="000000"/>
            </w:tcBorders>
            <w:vAlign w:val="center"/>
            <w:hideMark/>
          </w:tcPr>
          <w:p w:rsidR="005E5114" w:rsidRDefault="005E5114">
            <w:pPr>
              <w:pStyle w:val="biaogeleft"/>
              <w:wordWrap w:val="0"/>
              <w:rPr>
                <w:rFonts w:hint="eastAsia"/>
              </w:rPr>
            </w:pPr>
            <w:r>
              <w:rPr>
                <w:rFonts w:hint="eastAsia"/>
              </w:rPr>
              <w:t>收益结转的基金份额可赎回起始日</w:t>
            </w:r>
          </w:p>
        </w:tc>
        <w:tc>
          <w:tcPr>
            <w:tcW w:w="5057" w:type="dxa"/>
            <w:tcBorders>
              <w:top w:val="single" w:sz="8" w:space="0" w:color="000000"/>
              <w:left w:val="single" w:sz="8" w:space="0" w:color="000000"/>
              <w:bottom w:val="single" w:sz="8" w:space="0" w:color="000000"/>
              <w:right w:val="single" w:sz="8" w:space="0" w:color="000000"/>
            </w:tcBorders>
            <w:vAlign w:val="center"/>
            <w:hideMark/>
          </w:tcPr>
          <w:p w:rsidR="005E5114" w:rsidRDefault="005E5114">
            <w:pPr>
              <w:pStyle w:val="biaogeleft"/>
              <w:wordWrap w:val="0"/>
              <w:rPr>
                <w:rFonts w:hint="eastAsia"/>
              </w:rPr>
            </w:pPr>
            <w:r>
              <w:rPr>
                <w:rFonts w:hint="eastAsia"/>
              </w:rPr>
              <w:t>2024-03-26</w:t>
            </w:r>
          </w:p>
        </w:tc>
      </w:tr>
      <w:tr w:rsidR="005E5114" w:rsidRPr="00DA78DF">
        <w:trPr>
          <w:divId w:val="740099608"/>
        </w:trPr>
        <w:tc>
          <w:tcPr>
            <w:tcW w:w="3000" w:type="dxa"/>
            <w:tcBorders>
              <w:top w:val="single" w:sz="8" w:space="0" w:color="000000"/>
              <w:left w:val="single" w:sz="8" w:space="0" w:color="000000"/>
              <w:bottom w:val="single" w:sz="8" w:space="0" w:color="000000"/>
              <w:right w:val="single" w:sz="8" w:space="0" w:color="000000"/>
            </w:tcBorders>
            <w:vAlign w:val="center"/>
            <w:hideMark/>
          </w:tcPr>
          <w:p w:rsidR="005E5114" w:rsidRDefault="005E5114">
            <w:pPr>
              <w:pStyle w:val="biaogeleft"/>
              <w:wordWrap w:val="0"/>
              <w:rPr>
                <w:rFonts w:hint="eastAsia"/>
              </w:rPr>
            </w:pPr>
            <w:r>
              <w:rPr>
                <w:rFonts w:hint="eastAsia"/>
              </w:rPr>
              <w:t>收益支付对象</w:t>
            </w:r>
          </w:p>
        </w:tc>
        <w:tc>
          <w:tcPr>
            <w:tcW w:w="5057" w:type="dxa"/>
            <w:tcBorders>
              <w:top w:val="single" w:sz="8" w:space="0" w:color="000000"/>
              <w:left w:val="single" w:sz="8" w:space="0" w:color="000000"/>
              <w:bottom w:val="single" w:sz="8" w:space="0" w:color="000000"/>
              <w:right w:val="single" w:sz="8" w:space="0" w:color="000000"/>
            </w:tcBorders>
            <w:vAlign w:val="center"/>
            <w:hideMark/>
          </w:tcPr>
          <w:p w:rsidR="005E5114" w:rsidRDefault="005E5114">
            <w:pPr>
              <w:pStyle w:val="biaogeleft"/>
              <w:wordWrap w:val="0"/>
              <w:rPr>
                <w:rFonts w:hint="eastAsia"/>
              </w:rPr>
            </w:pPr>
            <w:r>
              <w:rPr>
                <w:rFonts w:hint="eastAsia"/>
              </w:rPr>
              <w:t>收益支付日在中国证券登记结算有限责任公司登记在册的本基金全体基金份额持有人。</w:t>
            </w:r>
          </w:p>
        </w:tc>
      </w:tr>
      <w:tr w:rsidR="005E5114" w:rsidRPr="00DA78DF">
        <w:trPr>
          <w:divId w:val="740099608"/>
        </w:trPr>
        <w:tc>
          <w:tcPr>
            <w:tcW w:w="3000" w:type="dxa"/>
            <w:tcBorders>
              <w:top w:val="single" w:sz="8" w:space="0" w:color="000000"/>
              <w:left w:val="single" w:sz="8" w:space="0" w:color="000000"/>
              <w:bottom w:val="single" w:sz="8" w:space="0" w:color="000000"/>
              <w:right w:val="single" w:sz="8" w:space="0" w:color="000000"/>
            </w:tcBorders>
            <w:vAlign w:val="center"/>
            <w:hideMark/>
          </w:tcPr>
          <w:p w:rsidR="005E5114" w:rsidRDefault="005E5114">
            <w:pPr>
              <w:pStyle w:val="biaogeleft"/>
              <w:wordWrap w:val="0"/>
              <w:rPr>
                <w:rFonts w:hint="eastAsia"/>
              </w:rPr>
            </w:pPr>
            <w:r>
              <w:rPr>
                <w:rFonts w:hint="eastAsia"/>
              </w:rPr>
              <w:t>收益支付办法</w:t>
            </w:r>
          </w:p>
        </w:tc>
        <w:tc>
          <w:tcPr>
            <w:tcW w:w="5057" w:type="dxa"/>
            <w:tcBorders>
              <w:top w:val="single" w:sz="8" w:space="0" w:color="000000"/>
              <w:left w:val="single" w:sz="8" w:space="0" w:color="000000"/>
              <w:bottom w:val="single" w:sz="8" w:space="0" w:color="000000"/>
              <w:right w:val="single" w:sz="8" w:space="0" w:color="000000"/>
            </w:tcBorders>
            <w:vAlign w:val="center"/>
            <w:hideMark/>
          </w:tcPr>
          <w:p w:rsidR="005E5114" w:rsidRDefault="005E5114">
            <w:pPr>
              <w:pStyle w:val="biaogeleft"/>
              <w:wordWrap w:val="0"/>
              <w:rPr>
                <w:rFonts w:hint="eastAsia"/>
              </w:rPr>
            </w:pPr>
            <w:r>
              <w:rPr>
                <w:rFonts w:hint="eastAsia"/>
              </w:rPr>
              <w:t>本基金收益支付方式为收益再投资方式，投资者收益结转的基金份额将于2024年03月25日直接计入其基金账户,2024年03月26日起可查询及赎回。</w:t>
            </w:r>
          </w:p>
        </w:tc>
      </w:tr>
      <w:tr w:rsidR="005E5114" w:rsidRPr="00DA78DF">
        <w:trPr>
          <w:divId w:val="740099608"/>
        </w:trPr>
        <w:tc>
          <w:tcPr>
            <w:tcW w:w="3000" w:type="dxa"/>
            <w:tcBorders>
              <w:top w:val="single" w:sz="8" w:space="0" w:color="000000"/>
              <w:left w:val="single" w:sz="8" w:space="0" w:color="000000"/>
              <w:bottom w:val="single" w:sz="8" w:space="0" w:color="000000"/>
              <w:right w:val="single" w:sz="8" w:space="0" w:color="000000"/>
            </w:tcBorders>
            <w:vAlign w:val="center"/>
            <w:hideMark/>
          </w:tcPr>
          <w:p w:rsidR="005E5114" w:rsidRDefault="005E5114">
            <w:pPr>
              <w:pStyle w:val="biaogeleft"/>
              <w:wordWrap w:val="0"/>
              <w:rPr>
                <w:rFonts w:hint="eastAsia"/>
              </w:rPr>
            </w:pPr>
            <w:r>
              <w:rPr>
                <w:rFonts w:hint="eastAsia"/>
              </w:rPr>
              <w:t>税收相关事项的说明</w:t>
            </w:r>
          </w:p>
        </w:tc>
        <w:tc>
          <w:tcPr>
            <w:tcW w:w="5057" w:type="dxa"/>
            <w:tcBorders>
              <w:top w:val="single" w:sz="8" w:space="0" w:color="000000"/>
              <w:left w:val="single" w:sz="8" w:space="0" w:color="000000"/>
              <w:bottom w:val="single" w:sz="8" w:space="0" w:color="000000"/>
              <w:right w:val="single" w:sz="8" w:space="0" w:color="000000"/>
            </w:tcBorders>
            <w:vAlign w:val="center"/>
            <w:hideMark/>
          </w:tcPr>
          <w:p w:rsidR="005E5114" w:rsidRDefault="005E5114">
            <w:pPr>
              <w:pStyle w:val="biaogeleft"/>
              <w:wordWrap w:val="0"/>
              <w:rPr>
                <w:rFonts w:hint="eastAsia"/>
              </w:rPr>
            </w:pPr>
            <w:r>
              <w:rPr>
                <w:rFonts w:hint="eastAsia"/>
              </w:rPr>
              <w:t>根据财政部、国家税务总局《关于开放式证券投资基金有关税收问题的通知》（财税字[2002]128号），对投资者（包括个人和机构投资者）从基金分配中取得的收入，暂不征收个人所得税和企业所得税。</w:t>
            </w:r>
          </w:p>
        </w:tc>
      </w:tr>
      <w:tr w:rsidR="005E5114" w:rsidRPr="00DA78DF">
        <w:trPr>
          <w:divId w:val="740099608"/>
        </w:trPr>
        <w:tc>
          <w:tcPr>
            <w:tcW w:w="3000" w:type="dxa"/>
            <w:tcBorders>
              <w:top w:val="single" w:sz="8" w:space="0" w:color="000000"/>
              <w:left w:val="single" w:sz="8" w:space="0" w:color="000000"/>
              <w:bottom w:val="single" w:sz="8" w:space="0" w:color="000000"/>
              <w:right w:val="single" w:sz="8" w:space="0" w:color="000000"/>
            </w:tcBorders>
            <w:vAlign w:val="center"/>
            <w:hideMark/>
          </w:tcPr>
          <w:p w:rsidR="005E5114" w:rsidRDefault="005E5114">
            <w:pPr>
              <w:pStyle w:val="biaogeleft"/>
              <w:wordWrap w:val="0"/>
              <w:rPr>
                <w:rFonts w:hint="eastAsia"/>
              </w:rPr>
            </w:pPr>
            <w:r>
              <w:rPr>
                <w:rFonts w:hint="eastAsia"/>
              </w:rPr>
              <w:lastRenderedPageBreak/>
              <w:t>费用相关事项的说明</w:t>
            </w:r>
          </w:p>
        </w:tc>
        <w:tc>
          <w:tcPr>
            <w:tcW w:w="5057" w:type="dxa"/>
            <w:tcBorders>
              <w:top w:val="single" w:sz="8" w:space="0" w:color="000000"/>
              <w:left w:val="single" w:sz="8" w:space="0" w:color="000000"/>
              <w:bottom w:val="single" w:sz="8" w:space="0" w:color="000000"/>
              <w:right w:val="single" w:sz="8" w:space="0" w:color="000000"/>
            </w:tcBorders>
            <w:vAlign w:val="center"/>
            <w:hideMark/>
          </w:tcPr>
          <w:p w:rsidR="005E5114" w:rsidRDefault="005E5114">
            <w:pPr>
              <w:pStyle w:val="biaogeleft"/>
              <w:wordWrap w:val="0"/>
              <w:rPr>
                <w:rFonts w:hint="eastAsia"/>
              </w:rPr>
            </w:pPr>
            <w:r>
              <w:rPr>
                <w:rFonts w:hint="eastAsia"/>
              </w:rPr>
              <w:t>本基金本次收益支付免收分红手续费和再投资手续费。</w:t>
            </w:r>
          </w:p>
        </w:tc>
      </w:tr>
    </w:tbl>
    <w:p w:rsidR="005E5114" w:rsidRDefault="005E5114">
      <w:pPr>
        <w:pStyle w:val="neirong"/>
        <w:divId w:val="740099608"/>
        <w:rPr>
          <w:rFonts w:hint="eastAsia"/>
        </w:rPr>
      </w:pPr>
      <w:r>
        <w:rPr>
          <w:rFonts w:hint="eastAsia"/>
        </w:rPr>
        <w:t>注：（1）当日申购的基金份额自下一个工作日起，享有基金的收益分配权益；当日赎回的基金份额自下一个工作日起，不享有基金的收益分配权益。 </w:t>
      </w:r>
      <w:r>
        <w:rPr>
          <w:rFonts w:hint="eastAsia"/>
        </w:rPr>
        <w:br/>
        <w:t>（2）本基金投资者的累计收益定于每月22日集中支付并按1元面值自动转为基金份额。若该日为非工作日，则顺延至下一工作日。如遇特殊情况，将另行公告。 </w:t>
      </w:r>
    </w:p>
    <w:p w:rsidR="005E5114" w:rsidRDefault="005E5114">
      <w:pPr>
        <w:widowControl/>
        <w:jc w:val="left"/>
        <w:rPr>
          <w:rFonts w:ascii="宋体" w:hAnsi="宋体" w:cs="宋体" w:hint="eastAsia"/>
          <w:kern w:val="0"/>
          <w:sz w:val="24"/>
          <w:szCs w:val="24"/>
        </w:rPr>
      </w:pPr>
    </w:p>
    <w:p w:rsidR="005E5114" w:rsidRDefault="005E5114">
      <w:pPr>
        <w:pStyle w:val="dazhangjie"/>
        <w:rPr>
          <w:rFonts w:hint="eastAsia"/>
        </w:rPr>
      </w:pPr>
      <w:r>
        <w:rPr>
          <w:rFonts w:hint="eastAsia"/>
          <w:b/>
          <w:bCs/>
        </w:rPr>
        <w:t>3、其他需要提示的事项</w:t>
      </w:r>
    </w:p>
    <w:p w:rsidR="005E5114" w:rsidRDefault="005E5114">
      <w:pPr>
        <w:pStyle w:val="neirong"/>
        <w:rPr>
          <w:rFonts w:hint="eastAsia"/>
        </w:rPr>
      </w:pPr>
      <w:r>
        <w:rPr>
          <w:rFonts w:hint="eastAsia"/>
        </w:rPr>
        <w:t>  1.投资者可通过下列渠道了解相关信息：</w:t>
      </w:r>
      <w:r>
        <w:rPr>
          <w:rFonts w:hint="eastAsia"/>
        </w:rPr>
        <w:br/>
        <w:t>  (1)中泰证券（上海）资产管理有限公司客户服务电话：400-821-0808；</w:t>
      </w:r>
      <w:r>
        <w:rPr>
          <w:rFonts w:hint="eastAsia"/>
        </w:rPr>
        <w:br/>
        <w:t>  (2)中泰证券（上海）资产管理有限公司网站：www.ztzqzg.com；</w:t>
      </w:r>
      <w:r>
        <w:rPr>
          <w:rFonts w:hint="eastAsia"/>
        </w:rPr>
        <w:br/>
        <w:t>  (3)本基金销售机构：中泰证券股份有限公司</w:t>
      </w:r>
      <w:r>
        <w:rPr>
          <w:rFonts w:hint="eastAsia"/>
        </w:rPr>
        <w:br/>
        <w:t>  2．风险提示</w:t>
      </w:r>
      <w:r>
        <w:rPr>
          <w:rFonts w:hint="eastAsia"/>
        </w:rPr>
        <w:br/>
        <w:t>  基金管理人承诺以诚实信用、勤勉尽责的原则管理和运用基金资产，但不保证基金一定盈利，也不保证最低收益。投资有风险，基金的过往业绩并不预示其未来表现，基金管理人管理的各只基金的业绩不构成对基金管理人管理的其他基金业绩表现的保证。投资者投资基金时应认真阅读相关基金的基金合同、招募说明书等法律文件。基金管理人提醒投资者基金投资的"买者自负"原则，请投资者根据自身的风险承受能力选择适合自己的基金产品。</w:t>
      </w:r>
      <w:r>
        <w:rPr>
          <w:rFonts w:hint="eastAsia"/>
        </w:rPr>
        <w:br/>
        <w:t>  本基金是以投资者交易结算资金为管理对象的货币市场基金，购买货币市场基金并不等于将资金作为存款存放在银行或者存款类金融机构。本基金对接服务的资金仅限于证券公司经纪业务客户交易结算资金，投资者持有的基金份额可用于客户资金账户交易结算；但是，本基金基金份额不等于投资者交易结算资金，本基金可能会给投资者证券交易、取款等带来习惯改变。敬请注意投资风险。</w:t>
      </w:r>
      <w:r>
        <w:rPr>
          <w:rFonts w:hint="eastAsia"/>
        </w:rPr>
        <w:br/>
        <w:t>  特此公告。</w:t>
      </w:r>
      <w:r>
        <w:rPr>
          <w:rFonts w:hint="eastAsia"/>
        </w:rPr>
        <w:br/>
        <w:t>  </w:t>
      </w:r>
    </w:p>
    <w:p w:rsidR="005E5114" w:rsidRDefault="005E5114">
      <w:pPr>
        <w:pStyle w:val="biaogeright"/>
        <w:rPr>
          <w:rFonts w:hint="eastAsia"/>
        </w:rPr>
      </w:pPr>
      <w:r w:rsidRPr="00DA78DF">
        <w:rPr>
          <w:rFonts w:hAnsi="Calibri" w:hint="eastAsia"/>
          <w:color w:val="000000"/>
        </w:rPr>
        <w:t>中泰证券（上海）资产管理有限公司</w:t>
      </w:r>
    </w:p>
    <w:p w:rsidR="005E5114" w:rsidRDefault="005E5114">
      <w:pPr>
        <w:pStyle w:val="biaogeright"/>
        <w:rPr>
          <w:rFonts w:hint="eastAsia"/>
        </w:rPr>
      </w:pPr>
      <w:r w:rsidRPr="00DA78DF">
        <w:rPr>
          <w:rFonts w:hAnsi="Calibri" w:hint="eastAsia"/>
          <w:color w:val="000000"/>
        </w:rPr>
        <w:t>2024年03月25日</w:t>
      </w:r>
    </w:p>
    <w:sectPr w:rsidR="005E5114">
      <w:pgSz w:w="11926" w:h="16867"/>
      <w:pgMar w:top="1418" w:right="1418" w:bottom="853"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114" w:rsidRDefault="005E5114" w:rsidP="00DA78DF">
      <w:r>
        <w:separator/>
      </w:r>
    </w:p>
  </w:endnote>
  <w:endnote w:type="continuationSeparator" w:id="0">
    <w:p w:rsidR="005E5114" w:rsidRDefault="005E5114" w:rsidP="00DA78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114" w:rsidRDefault="005E5114" w:rsidP="00DA78DF">
      <w:r>
        <w:separator/>
      </w:r>
    </w:p>
  </w:footnote>
  <w:footnote w:type="continuationSeparator" w:id="0">
    <w:p w:rsidR="005E5114" w:rsidRDefault="005E5114" w:rsidP="00DA78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noPunctuationKerning/>
  <w:characterSpacingControl w:val="compressPunctuation"/>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78DF"/>
    <w:rsid w:val="005E5114"/>
    <w:rsid w:val="008A1D3B"/>
    <w:rsid w:val="00DA78D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fy">
    <w:name w:val="msonormalfy"/>
    <w:qFormat/>
    <w:pPr>
      <w:widowControl w:val="0"/>
      <w:jc w:val="center"/>
    </w:pPr>
    <w:rPr>
      <w:rFonts w:cs="Times New Roman"/>
      <w:kern w:val="2"/>
      <w:sz w:val="29"/>
      <w:szCs w:val="22"/>
    </w:rPr>
  </w:style>
  <w:style w:type="paragraph" w:customStyle="1" w:styleId="msonormal2">
    <w:name w:val="msonormal2"/>
    <w:qFormat/>
    <w:pPr>
      <w:widowControl w:val="0"/>
      <w:jc w:val="center"/>
    </w:pPr>
    <w:rPr>
      <w:rFonts w:cs="Times New Roman"/>
      <w:kern w:val="2"/>
      <w:sz w:val="21"/>
      <w:szCs w:val="22"/>
    </w:rPr>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Pr>
      <w:rFonts w:ascii="Times New Roman" w:hAnsi="Times New Roman" w:cs="Times New Roman" w:hint="default"/>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link w:val="a4"/>
    <w:uiPriority w:val="99"/>
    <w:locked/>
    <w:rPr>
      <w:rFonts w:ascii="Times New Roman" w:hAnsi="Times New Roman" w:cs="Times New Roman" w:hint="default"/>
      <w:sz w:val="18"/>
      <w:szCs w:val="18"/>
    </w:rPr>
  </w:style>
  <w:style w:type="paragraph" w:customStyle="1" w:styleId="dazhangjie">
    <w:name w:val="dazhangjie"/>
    <w:basedOn w:val="a"/>
    <w:pPr>
      <w:widowControl/>
      <w:autoSpaceDE w:val="0"/>
      <w:autoSpaceDN w:val="0"/>
      <w:adjustRightInd w:val="0"/>
      <w:spacing w:before="30" w:line="288" w:lineRule="auto"/>
      <w:ind w:left="15"/>
      <w:jc w:val="left"/>
      <w:outlineLvl w:val="0"/>
    </w:pPr>
    <w:rPr>
      <w:rFonts w:ascii="宋体" w:hAnsi="宋体" w:cs="宋体"/>
      <w:kern w:val="0"/>
      <w:sz w:val="24"/>
      <w:szCs w:val="24"/>
    </w:rPr>
  </w:style>
  <w:style w:type="paragraph" w:customStyle="1" w:styleId="biaogeleft">
    <w:name w:val="biaoge_left"/>
    <w:basedOn w:val="a"/>
    <w:pPr>
      <w:widowControl/>
      <w:autoSpaceDE w:val="0"/>
      <w:autoSpaceDN w:val="0"/>
      <w:adjustRightInd w:val="0"/>
      <w:spacing w:before="29" w:line="288" w:lineRule="auto"/>
      <w:ind w:left="15"/>
      <w:jc w:val="left"/>
    </w:pPr>
    <w:rPr>
      <w:rFonts w:ascii="宋体" w:hAnsi="宋体" w:cs="宋体"/>
      <w:kern w:val="0"/>
      <w:sz w:val="24"/>
      <w:szCs w:val="24"/>
    </w:rPr>
  </w:style>
  <w:style w:type="paragraph" w:customStyle="1" w:styleId="neirong">
    <w:name w:val="neirong"/>
    <w:basedOn w:val="a"/>
    <w:pPr>
      <w:widowControl/>
      <w:autoSpaceDE w:val="0"/>
      <w:autoSpaceDN w:val="0"/>
      <w:adjustRightInd w:val="0"/>
      <w:spacing w:before="29" w:line="360" w:lineRule="auto"/>
      <w:ind w:left="15"/>
      <w:jc w:val="left"/>
    </w:pPr>
    <w:rPr>
      <w:rFonts w:ascii="宋体" w:hAnsi="宋体" w:cs="宋体"/>
      <w:kern w:val="0"/>
      <w:sz w:val="24"/>
      <w:szCs w:val="24"/>
    </w:rPr>
  </w:style>
  <w:style w:type="paragraph" w:customStyle="1" w:styleId="biaogecenter">
    <w:name w:val="biaoge_center"/>
    <w:basedOn w:val="a"/>
    <w:pPr>
      <w:widowControl/>
      <w:autoSpaceDE w:val="0"/>
      <w:autoSpaceDN w:val="0"/>
      <w:adjustRightInd w:val="0"/>
      <w:spacing w:before="29" w:line="288" w:lineRule="auto"/>
      <w:ind w:left="15"/>
      <w:jc w:val="center"/>
    </w:pPr>
    <w:rPr>
      <w:rFonts w:ascii="宋体" w:hAnsi="宋体" w:cs="宋体"/>
      <w:kern w:val="0"/>
      <w:sz w:val="24"/>
      <w:szCs w:val="24"/>
    </w:rPr>
  </w:style>
  <w:style w:type="paragraph" w:customStyle="1" w:styleId="biaogeright">
    <w:name w:val="biaoge_right"/>
    <w:basedOn w:val="a"/>
    <w:pPr>
      <w:widowControl/>
      <w:autoSpaceDE w:val="0"/>
      <w:autoSpaceDN w:val="0"/>
      <w:adjustRightInd w:val="0"/>
      <w:spacing w:before="29" w:line="288" w:lineRule="auto"/>
      <w:ind w:left="15"/>
      <w:jc w:val="right"/>
    </w:pPr>
    <w:rPr>
      <w:rFonts w:ascii="宋体" w:hAnsi="宋体" w:cs="宋体"/>
      <w:kern w:val="0"/>
      <w:sz w:val="24"/>
      <w:szCs w:val="24"/>
    </w:rPr>
  </w:style>
  <w:style w:type="paragraph" w:customStyle="1" w:styleId="hide">
    <w:name w:val="hide"/>
    <w:basedOn w:val="a"/>
    <w:pPr>
      <w:widowControl/>
      <w:spacing w:before="100" w:beforeAutospacing="1" w:after="100" w:afterAutospacing="1"/>
      <w:jc w:val="left"/>
    </w:pPr>
    <w:rPr>
      <w:rFonts w:ascii="宋体" w:hAnsi="宋体" w:cs="宋体"/>
      <w:vanish/>
      <w:kern w:val="0"/>
      <w:sz w:val="24"/>
      <w:szCs w:val="24"/>
    </w:rPr>
  </w:style>
  <w:style w:type="paragraph" w:customStyle="1" w:styleId="show">
    <w:name w:val="show"/>
    <w:basedOn w:val="a"/>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76607106">
      <w:marLeft w:val="0"/>
      <w:marRight w:val="0"/>
      <w:marTop w:val="0"/>
      <w:marBottom w:val="0"/>
      <w:divBdr>
        <w:top w:val="none" w:sz="0" w:space="0" w:color="auto"/>
        <w:left w:val="none" w:sz="0" w:space="0" w:color="auto"/>
        <w:bottom w:val="none" w:sz="0" w:space="0" w:color="auto"/>
        <w:right w:val="none" w:sz="0" w:space="0" w:color="auto"/>
      </w:divBdr>
    </w:div>
    <w:div w:id="7400996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1201</Characters>
  <Application>Microsoft Office Word</Application>
  <DocSecurity>4</DocSecurity>
  <Lines>10</Lines>
  <Paragraphs>2</Paragraphs>
  <ScaleCrop>false</ScaleCrop>
  <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huangjj</dc:creator>
  <cp:keywords/>
  <dc:description/>
  <cp:lastModifiedBy>ZHONGM</cp:lastModifiedBy>
  <cp:revision>2</cp:revision>
  <dcterms:created xsi:type="dcterms:W3CDTF">2024-03-24T16:00:00Z</dcterms:created>
  <dcterms:modified xsi:type="dcterms:W3CDTF">2024-03-24T16:00:00Z</dcterms:modified>
</cp:coreProperties>
</file>