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39" w:rsidRPr="00870020" w:rsidRDefault="00870020">
      <w:pPr>
        <w:widowControl/>
        <w:snapToGrid w:val="0"/>
        <w:spacing w:line="440" w:lineRule="exact"/>
        <w:jc w:val="center"/>
        <w:rPr>
          <w:rFonts w:asciiTheme="majorEastAsia" w:eastAsiaTheme="majorEastAsia" w:hAnsiTheme="majorEastAsia" w:cstheme="majorEastAsia"/>
          <w:b/>
          <w:bCs/>
          <w:kern w:val="0"/>
          <w:sz w:val="30"/>
          <w:szCs w:val="32"/>
        </w:rPr>
      </w:pPr>
      <w:r w:rsidRPr="00870020">
        <w:rPr>
          <w:rFonts w:asciiTheme="majorEastAsia" w:eastAsiaTheme="majorEastAsia" w:hAnsiTheme="majorEastAsia" w:cstheme="majorEastAsia" w:hint="eastAsia"/>
          <w:b/>
          <w:bCs/>
          <w:kern w:val="0"/>
          <w:sz w:val="30"/>
          <w:szCs w:val="32"/>
        </w:rPr>
        <w:t>银华基金管理股份有限公司关于调整旗下部分证券投资基金主流动性服务商的公告</w:t>
      </w:r>
    </w:p>
    <w:p w:rsidR="00410C39" w:rsidRDefault="00410C39">
      <w:pPr>
        <w:widowControl/>
        <w:snapToGrid w:val="0"/>
        <w:spacing w:line="440" w:lineRule="exact"/>
        <w:ind w:firstLine="600"/>
        <w:jc w:val="center"/>
        <w:rPr>
          <w:rFonts w:ascii="宋体" w:hAnsi="宋体"/>
          <w:kern w:val="0"/>
          <w:sz w:val="30"/>
          <w:szCs w:val="30"/>
        </w:rPr>
      </w:pPr>
    </w:p>
    <w:p w:rsidR="00410C39" w:rsidRDefault="004F028A">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号——流动性服务》等有关规定，自</w:t>
      </w:r>
      <w:r w:rsidR="00692911">
        <w:rPr>
          <w:rFonts w:ascii="宋体" w:hAnsi="宋体" w:hint="eastAsia"/>
          <w:szCs w:val="21"/>
        </w:rPr>
        <w:t>2024</w:t>
      </w:r>
      <w:r>
        <w:rPr>
          <w:rFonts w:ascii="宋体" w:hAnsi="宋体" w:hint="eastAsia"/>
          <w:szCs w:val="21"/>
        </w:rPr>
        <w:t>年</w:t>
      </w:r>
      <w:r w:rsidR="00692911">
        <w:rPr>
          <w:rFonts w:ascii="宋体" w:hAnsi="宋体" w:hint="eastAsia"/>
          <w:szCs w:val="21"/>
        </w:rPr>
        <w:t>3</w:t>
      </w:r>
      <w:r>
        <w:rPr>
          <w:rFonts w:ascii="宋体" w:hAnsi="宋体" w:hint="eastAsia"/>
          <w:szCs w:val="21"/>
        </w:rPr>
        <w:t>月</w:t>
      </w:r>
      <w:r w:rsidR="00692911">
        <w:rPr>
          <w:rFonts w:ascii="宋体" w:hAnsi="宋体" w:hint="eastAsia"/>
          <w:szCs w:val="21"/>
        </w:rPr>
        <w:t>21</w:t>
      </w:r>
      <w:r>
        <w:rPr>
          <w:rFonts w:ascii="宋体" w:hAnsi="宋体" w:hint="eastAsia"/>
          <w:szCs w:val="21"/>
        </w:rPr>
        <w:t>日起，本公司将下列证券投资基金的主流动性服务商调整为一般流动性服务商：</w:t>
      </w:r>
    </w:p>
    <w:p w:rsidR="00410C39" w:rsidRDefault="004F028A" w:rsidP="00692911">
      <w:pPr>
        <w:spacing w:line="440" w:lineRule="exact"/>
        <w:ind w:firstLine="420"/>
        <w:jc w:val="left"/>
        <w:rPr>
          <w:rFonts w:ascii="宋体" w:hAnsi="宋体"/>
          <w:szCs w:val="21"/>
        </w:rPr>
      </w:pPr>
      <w:r>
        <w:rPr>
          <w:rFonts w:ascii="宋体" w:hAnsi="宋体" w:hint="eastAsia"/>
          <w:szCs w:val="21"/>
        </w:rPr>
        <w:t>1</w:t>
      </w:r>
      <w:r>
        <w:rPr>
          <w:rFonts w:ascii="宋体" w:hAnsi="宋体" w:hint="eastAsia"/>
          <w:szCs w:val="21"/>
        </w:rPr>
        <w:t>、</w:t>
      </w:r>
      <w:r w:rsidR="00692911" w:rsidRPr="00692911">
        <w:rPr>
          <w:rFonts w:ascii="宋体" w:hAnsi="宋体"/>
          <w:szCs w:val="21"/>
        </w:rPr>
        <w:t>银华中证虚拟现实主题交易型开放式指数证券投资基金</w:t>
      </w:r>
      <w:r>
        <w:rPr>
          <w:rFonts w:ascii="宋体" w:hAnsi="宋体" w:hint="eastAsia"/>
          <w:szCs w:val="21"/>
        </w:rPr>
        <w:t>（</w:t>
      </w:r>
      <w:r w:rsidR="00692911">
        <w:rPr>
          <w:rFonts w:ascii="宋体" w:hAnsi="宋体" w:hint="eastAsia"/>
          <w:szCs w:val="21"/>
        </w:rPr>
        <w:t>159786</w:t>
      </w:r>
      <w:r>
        <w:rPr>
          <w:rFonts w:ascii="宋体" w:hAnsi="宋体" w:hint="eastAsia"/>
          <w:szCs w:val="21"/>
        </w:rPr>
        <w:t>）：</w:t>
      </w:r>
    </w:p>
    <w:p w:rsidR="00410C39" w:rsidRDefault="00692911" w:rsidP="00692911">
      <w:pPr>
        <w:spacing w:line="440" w:lineRule="exact"/>
        <w:ind w:firstLine="420"/>
        <w:jc w:val="left"/>
        <w:rPr>
          <w:rFonts w:ascii="宋体" w:hAnsi="宋体"/>
          <w:szCs w:val="21"/>
        </w:rPr>
      </w:pPr>
      <w:r w:rsidRPr="00692911">
        <w:rPr>
          <w:rFonts w:ascii="宋体" w:hAnsi="宋体"/>
          <w:szCs w:val="21"/>
        </w:rPr>
        <w:t>广发证券股份有限公司</w:t>
      </w:r>
    </w:p>
    <w:p w:rsidR="00410C39" w:rsidRDefault="004F028A" w:rsidP="00692911">
      <w:pPr>
        <w:spacing w:line="440" w:lineRule="exact"/>
        <w:ind w:firstLine="420"/>
        <w:jc w:val="left"/>
        <w:rPr>
          <w:rFonts w:ascii="宋体" w:hAnsi="宋体"/>
          <w:szCs w:val="21"/>
        </w:rPr>
      </w:pPr>
      <w:r>
        <w:rPr>
          <w:rFonts w:ascii="宋体" w:hAnsi="宋体" w:hint="eastAsia"/>
          <w:szCs w:val="21"/>
        </w:rPr>
        <w:t>2</w:t>
      </w:r>
      <w:r>
        <w:rPr>
          <w:rFonts w:ascii="宋体" w:hAnsi="宋体" w:hint="eastAsia"/>
          <w:szCs w:val="21"/>
        </w:rPr>
        <w:t>、</w:t>
      </w:r>
      <w:r w:rsidR="00692911" w:rsidRPr="00692911">
        <w:rPr>
          <w:rFonts w:ascii="宋体" w:hAnsi="宋体"/>
          <w:szCs w:val="21"/>
        </w:rPr>
        <w:t>银华中证央企结构调整交易型开放式指数证券投资基金</w:t>
      </w:r>
      <w:r>
        <w:rPr>
          <w:rFonts w:ascii="宋体" w:hAnsi="宋体" w:hint="eastAsia"/>
          <w:szCs w:val="21"/>
        </w:rPr>
        <w:t>（</w:t>
      </w:r>
      <w:r w:rsidR="00692911">
        <w:rPr>
          <w:rFonts w:ascii="宋体" w:hAnsi="宋体" w:hint="eastAsia"/>
          <w:szCs w:val="21"/>
        </w:rPr>
        <w:t>159959</w:t>
      </w:r>
      <w:r>
        <w:rPr>
          <w:rFonts w:ascii="宋体" w:hAnsi="宋体" w:hint="eastAsia"/>
          <w:szCs w:val="21"/>
        </w:rPr>
        <w:t>）：</w:t>
      </w:r>
    </w:p>
    <w:p w:rsidR="00410C39" w:rsidRPr="00692911" w:rsidRDefault="00692911" w:rsidP="00692911">
      <w:pPr>
        <w:spacing w:line="440" w:lineRule="exact"/>
        <w:ind w:firstLine="420"/>
        <w:jc w:val="left"/>
        <w:rPr>
          <w:rFonts w:ascii="宋体" w:hAnsi="宋体"/>
          <w:szCs w:val="21"/>
        </w:rPr>
      </w:pPr>
      <w:r w:rsidRPr="00692911">
        <w:rPr>
          <w:rFonts w:ascii="宋体" w:hAnsi="宋体"/>
          <w:szCs w:val="21"/>
        </w:rPr>
        <w:t>中国银河证券股份有限公司</w:t>
      </w:r>
    </w:p>
    <w:p w:rsidR="00410C39" w:rsidRDefault="00410C39" w:rsidP="00692911">
      <w:pPr>
        <w:spacing w:line="440" w:lineRule="exact"/>
        <w:ind w:firstLine="420"/>
        <w:jc w:val="left"/>
        <w:rPr>
          <w:rFonts w:ascii="宋体" w:hAnsi="宋体"/>
          <w:szCs w:val="21"/>
        </w:rPr>
      </w:pPr>
    </w:p>
    <w:p w:rsidR="00410C39" w:rsidRDefault="004F028A">
      <w:pPr>
        <w:spacing w:line="440" w:lineRule="exact"/>
        <w:ind w:firstLine="420"/>
        <w:jc w:val="left"/>
        <w:rPr>
          <w:rFonts w:ascii="宋体" w:hAnsi="宋体"/>
          <w:szCs w:val="21"/>
        </w:rPr>
      </w:pPr>
      <w:r>
        <w:rPr>
          <w:rFonts w:ascii="宋体" w:hAnsi="宋体" w:hint="eastAsia"/>
          <w:szCs w:val="21"/>
        </w:rPr>
        <w:t>特此公告。</w:t>
      </w:r>
    </w:p>
    <w:p w:rsidR="00410C39" w:rsidRDefault="004F028A">
      <w:pPr>
        <w:spacing w:line="440" w:lineRule="exact"/>
        <w:ind w:firstLine="420"/>
        <w:jc w:val="right"/>
        <w:rPr>
          <w:rFonts w:ascii="宋体" w:hAnsi="宋体"/>
          <w:szCs w:val="21"/>
        </w:rPr>
      </w:pPr>
      <w:r>
        <w:rPr>
          <w:rFonts w:ascii="宋体" w:hAnsi="宋体" w:hint="eastAsia"/>
          <w:szCs w:val="21"/>
        </w:rPr>
        <w:t xml:space="preserve"> </w:t>
      </w:r>
    </w:p>
    <w:p w:rsidR="00410C39" w:rsidRDefault="00692911">
      <w:pPr>
        <w:spacing w:line="440" w:lineRule="exact"/>
        <w:ind w:firstLine="420"/>
        <w:jc w:val="right"/>
        <w:rPr>
          <w:rFonts w:ascii="宋体" w:hAnsi="宋体"/>
          <w:szCs w:val="21"/>
        </w:rPr>
      </w:pPr>
      <w:r>
        <w:rPr>
          <w:rFonts w:ascii="宋体" w:hAnsi="宋体" w:hint="eastAsia"/>
          <w:szCs w:val="21"/>
        </w:rPr>
        <w:t>银华基金管理股份有限公司</w:t>
      </w:r>
    </w:p>
    <w:p w:rsidR="00410C39" w:rsidRDefault="00692911">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年3月23日</w:t>
      </w: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pPr>
        <w:rPr>
          <w:rFonts w:ascii="宋体" w:hAnsi="宋体"/>
          <w:szCs w:val="21"/>
        </w:rPr>
      </w:pPr>
    </w:p>
    <w:p w:rsidR="00410C39" w:rsidRDefault="00410C39"/>
    <w:sectPr w:rsidR="00410C39" w:rsidSect="006E53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ED" w:rsidRDefault="003D73ED" w:rsidP="00692911">
      <w:r>
        <w:separator/>
      </w:r>
    </w:p>
  </w:endnote>
  <w:endnote w:type="continuationSeparator" w:id="0">
    <w:p w:rsidR="003D73ED" w:rsidRDefault="003D73ED" w:rsidP="00692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ED" w:rsidRDefault="003D73ED" w:rsidP="00692911">
      <w:r>
        <w:separator/>
      </w:r>
    </w:p>
  </w:footnote>
  <w:footnote w:type="continuationSeparator" w:id="0">
    <w:p w:rsidR="003D73ED" w:rsidRDefault="003D73ED" w:rsidP="00692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C39"/>
    <w:rsid w:val="003D73ED"/>
    <w:rsid w:val="003F1B1C"/>
    <w:rsid w:val="00410C39"/>
    <w:rsid w:val="004F028A"/>
    <w:rsid w:val="00692911"/>
    <w:rsid w:val="006E53E5"/>
    <w:rsid w:val="00870020"/>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3E5"/>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6E53E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53E5"/>
    <w:pPr>
      <w:jc w:val="left"/>
    </w:pPr>
  </w:style>
  <w:style w:type="paragraph" w:styleId="a4">
    <w:name w:val="footnote text"/>
    <w:basedOn w:val="a"/>
    <w:semiHidden/>
    <w:unhideWhenUsed/>
    <w:qFormat/>
    <w:rsid w:val="006E53E5"/>
    <w:pPr>
      <w:snapToGrid w:val="0"/>
      <w:jc w:val="left"/>
    </w:pPr>
    <w:rPr>
      <w:sz w:val="18"/>
    </w:rPr>
  </w:style>
  <w:style w:type="character" w:styleId="a5">
    <w:name w:val="footnote reference"/>
    <w:basedOn w:val="a0"/>
    <w:semiHidden/>
    <w:unhideWhenUsed/>
    <w:qFormat/>
    <w:rsid w:val="006E53E5"/>
    <w:rPr>
      <w:vertAlign w:val="superscript"/>
    </w:rPr>
  </w:style>
  <w:style w:type="paragraph" w:customStyle="1" w:styleId="1">
    <w:name w:val="样式1"/>
    <w:basedOn w:val="4"/>
    <w:next w:val="a"/>
    <w:qFormat/>
    <w:rsid w:val="006E53E5"/>
    <w:pPr>
      <w:numPr>
        <w:numId w:val="1"/>
      </w:numPr>
    </w:pPr>
    <w:rPr>
      <w:rFonts w:asciiTheme="minorHAnsi" w:hAnsiTheme="minorHAnsi"/>
      <w:sz w:val="24"/>
    </w:rPr>
  </w:style>
  <w:style w:type="paragraph" w:styleId="a6">
    <w:name w:val="header"/>
    <w:basedOn w:val="a"/>
    <w:link w:val="Char"/>
    <w:rsid w:val="00692911"/>
    <w:pPr>
      <w:tabs>
        <w:tab w:val="center" w:pos="4153"/>
        <w:tab w:val="right" w:pos="8306"/>
      </w:tabs>
      <w:snapToGrid w:val="0"/>
      <w:jc w:val="center"/>
    </w:pPr>
    <w:rPr>
      <w:sz w:val="18"/>
      <w:szCs w:val="18"/>
    </w:rPr>
  </w:style>
  <w:style w:type="character" w:customStyle="1" w:styleId="Char">
    <w:name w:val="页眉 Char"/>
    <w:basedOn w:val="a0"/>
    <w:link w:val="a6"/>
    <w:rsid w:val="00692911"/>
    <w:rPr>
      <w:rFonts w:ascii="Times New Roman" w:eastAsia="宋体" w:hAnsi="Times New Roman" w:cs="Times New Roman"/>
      <w:kern w:val="2"/>
      <w:sz w:val="18"/>
      <w:szCs w:val="18"/>
    </w:rPr>
  </w:style>
  <w:style w:type="paragraph" w:styleId="a7">
    <w:name w:val="footer"/>
    <w:basedOn w:val="a"/>
    <w:link w:val="Char0"/>
    <w:rsid w:val="00692911"/>
    <w:pPr>
      <w:tabs>
        <w:tab w:val="center" w:pos="4153"/>
        <w:tab w:val="right" w:pos="8306"/>
      </w:tabs>
      <w:snapToGrid w:val="0"/>
      <w:jc w:val="left"/>
    </w:pPr>
    <w:rPr>
      <w:sz w:val="18"/>
      <w:szCs w:val="18"/>
    </w:rPr>
  </w:style>
  <w:style w:type="character" w:customStyle="1" w:styleId="Char0">
    <w:name w:val="页脚 Char"/>
    <w:basedOn w:val="a0"/>
    <w:link w:val="a7"/>
    <w:rsid w:val="0069291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50852354">
      <w:bodyDiv w:val="1"/>
      <w:marLeft w:val="0"/>
      <w:marRight w:val="0"/>
      <w:marTop w:val="0"/>
      <w:marBottom w:val="0"/>
      <w:divBdr>
        <w:top w:val="none" w:sz="0" w:space="0" w:color="auto"/>
        <w:left w:val="none" w:sz="0" w:space="0" w:color="auto"/>
        <w:bottom w:val="none" w:sz="0" w:space="0" w:color="auto"/>
        <w:right w:val="none" w:sz="0" w:space="0" w:color="auto"/>
      </w:divBdr>
      <w:divsChild>
        <w:div w:id="813374717">
          <w:marLeft w:val="0"/>
          <w:marRight w:val="0"/>
          <w:marTop w:val="0"/>
          <w:marBottom w:val="0"/>
          <w:divBdr>
            <w:top w:val="none" w:sz="0" w:space="0" w:color="auto"/>
            <w:left w:val="none" w:sz="0" w:space="0" w:color="auto"/>
            <w:bottom w:val="none" w:sz="0" w:space="0" w:color="auto"/>
            <w:right w:val="none" w:sz="0" w:space="0" w:color="auto"/>
          </w:divBdr>
          <w:divsChild>
            <w:div w:id="1563368675">
              <w:marLeft w:val="0"/>
              <w:marRight w:val="0"/>
              <w:marTop w:val="0"/>
              <w:marBottom w:val="0"/>
              <w:divBdr>
                <w:top w:val="none" w:sz="0" w:space="0" w:color="auto"/>
                <w:left w:val="none" w:sz="0" w:space="0" w:color="auto"/>
                <w:bottom w:val="none" w:sz="0" w:space="0" w:color="auto"/>
                <w:right w:val="none" w:sz="0" w:space="0" w:color="auto"/>
              </w:divBdr>
              <w:divsChild>
                <w:div w:id="1985160964">
                  <w:marLeft w:val="0"/>
                  <w:marRight w:val="0"/>
                  <w:marTop w:val="300"/>
                  <w:marBottom w:val="300"/>
                  <w:divBdr>
                    <w:top w:val="none" w:sz="0" w:space="0" w:color="auto"/>
                    <w:left w:val="none" w:sz="0" w:space="0" w:color="auto"/>
                    <w:bottom w:val="none" w:sz="0" w:space="0" w:color="auto"/>
                    <w:right w:val="none" w:sz="0" w:space="0" w:color="auto"/>
                  </w:divBdr>
                  <w:divsChild>
                    <w:div w:id="894582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30468632">
      <w:bodyDiv w:val="1"/>
      <w:marLeft w:val="0"/>
      <w:marRight w:val="0"/>
      <w:marTop w:val="0"/>
      <w:marBottom w:val="0"/>
      <w:divBdr>
        <w:top w:val="none" w:sz="0" w:space="0" w:color="auto"/>
        <w:left w:val="none" w:sz="0" w:space="0" w:color="auto"/>
        <w:bottom w:val="none" w:sz="0" w:space="0" w:color="auto"/>
        <w:right w:val="none" w:sz="0" w:space="0" w:color="auto"/>
      </w:divBdr>
      <w:divsChild>
        <w:div w:id="1303999930">
          <w:marLeft w:val="0"/>
          <w:marRight w:val="0"/>
          <w:marTop w:val="0"/>
          <w:marBottom w:val="0"/>
          <w:divBdr>
            <w:top w:val="none" w:sz="0" w:space="0" w:color="auto"/>
            <w:left w:val="none" w:sz="0" w:space="0" w:color="auto"/>
            <w:bottom w:val="none" w:sz="0" w:space="0" w:color="auto"/>
            <w:right w:val="none" w:sz="0" w:space="0" w:color="auto"/>
          </w:divBdr>
          <w:divsChild>
            <w:div w:id="568661169">
              <w:marLeft w:val="0"/>
              <w:marRight w:val="0"/>
              <w:marTop w:val="0"/>
              <w:marBottom w:val="0"/>
              <w:divBdr>
                <w:top w:val="none" w:sz="0" w:space="0" w:color="auto"/>
                <w:left w:val="none" w:sz="0" w:space="0" w:color="auto"/>
                <w:bottom w:val="none" w:sz="0" w:space="0" w:color="auto"/>
                <w:right w:val="none" w:sz="0" w:space="0" w:color="auto"/>
              </w:divBdr>
              <w:divsChild>
                <w:div w:id="2007249047">
                  <w:marLeft w:val="0"/>
                  <w:marRight w:val="0"/>
                  <w:marTop w:val="300"/>
                  <w:marBottom w:val="300"/>
                  <w:divBdr>
                    <w:top w:val="none" w:sz="0" w:space="0" w:color="auto"/>
                    <w:left w:val="none" w:sz="0" w:space="0" w:color="auto"/>
                    <w:bottom w:val="none" w:sz="0" w:space="0" w:color="auto"/>
                    <w:right w:val="none" w:sz="0" w:space="0" w:color="auto"/>
                  </w:divBdr>
                  <w:divsChild>
                    <w:div w:id="1823110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4</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yyli01.oth</dc:creator>
  <cp:lastModifiedBy>ZHONGM</cp:lastModifiedBy>
  <cp:revision>2</cp:revision>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