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0E" w:rsidRDefault="0050720E">
      <w:pPr>
        <w:jc w:val="center"/>
        <w:rPr>
          <w:rFonts w:ascii="宋体" w:hAnsi="宋体"/>
          <w:b/>
          <w:szCs w:val="21"/>
        </w:rPr>
      </w:pPr>
      <w:bookmarkStart w:id="0" w:name="FM_KS_1"/>
      <w:bookmarkEnd w:id="0"/>
    </w:p>
    <w:p w:rsidR="0050720E" w:rsidRDefault="0050720E">
      <w:pPr>
        <w:jc w:val="center"/>
        <w:rPr>
          <w:rFonts w:ascii="宋体" w:hAnsi="宋体" w:hint="eastAsia"/>
          <w:b/>
          <w:szCs w:val="21"/>
        </w:rPr>
      </w:pPr>
    </w:p>
    <w:p w:rsidR="0050720E" w:rsidRDefault="0050720E">
      <w:pPr>
        <w:jc w:val="center"/>
        <w:rPr>
          <w:rFonts w:ascii="宋体" w:hAnsi="宋体" w:hint="eastAsia"/>
          <w:b/>
          <w:sz w:val="24"/>
          <w:szCs w:val="24"/>
        </w:rPr>
      </w:pPr>
      <w:r>
        <w:rPr>
          <w:rFonts w:ascii="宋体" w:hAnsi="宋体" w:hint="eastAsia"/>
          <w:b/>
          <w:sz w:val="24"/>
          <w:szCs w:val="24"/>
        </w:rPr>
        <w:t>中信保诚国企红利量化选股股票型证券投资基金</w:t>
      </w:r>
      <w:r>
        <w:rPr>
          <w:rFonts w:ascii="宋体" w:hAnsi="宋体" w:hint="eastAsia"/>
          <w:b/>
          <w:sz w:val="24"/>
          <w:szCs w:val="24"/>
        </w:rPr>
        <w:br/>
        <w:t>基金合同生效公告</w:t>
      </w:r>
    </w:p>
    <w:p w:rsidR="0050720E" w:rsidRDefault="0050720E">
      <w:pPr>
        <w:jc w:val="center"/>
        <w:rPr>
          <w:rFonts w:ascii="宋体" w:hAnsi="宋体" w:hint="eastAsia"/>
          <w:b/>
          <w:szCs w:val="21"/>
        </w:rPr>
      </w:pPr>
    </w:p>
    <w:p w:rsidR="0050720E" w:rsidRDefault="0050720E">
      <w:pPr>
        <w:jc w:val="center"/>
        <w:rPr>
          <w:rFonts w:ascii="宋体" w:hAnsi="宋体" w:hint="eastAsia"/>
          <w:b/>
          <w:szCs w:val="21"/>
        </w:rPr>
      </w:pPr>
    </w:p>
    <w:p w:rsidR="0050720E" w:rsidRDefault="0050720E">
      <w:pPr>
        <w:jc w:val="center"/>
        <w:rPr>
          <w:rFonts w:ascii="宋体" w:hAnsi="宋体" w:hint="eastAsia"/>
          <w:b/>
          <w:sz w:val="24"/>
          <w:szCs w:val="24"/>
        </w:rPr>
      </w:pPr>
      <w:r>
        <w:rPr>
          <w:rFonts w:ascii="宋体" w:hAnsi="宋体" w:hint="eastAsia"/>
          <w:b/>
          <w:sz w:val="24"/>
          <w:szCs w:val="24"/>
        </w:rPr>
        <w:t>公告送出日期：2024年03月23日</w:t>
      </w:r>
    </w:p>
    <w:p w:rsidR="0050720E" w:rsidRDefault="0050720E">
      <w:pPr>
        <w:jc w:val="center"/>
        <w:rPr>
          <w:rFonts w:ascii="宋体" w:hAnsi="宋体" w:hint="eastAsia"/>
          <w:szCs w:val="21"/>
        </w:rPr>
      </w:pPr>
      <w:bookmarkStart w:id="1" w:name="FM_JS_1"/>
      <w:bookmarkEnd w:id="1"/>
    </w:p>
    <w:p w:rsidR="0050720E" w:rsidRDefault="0050720E">
      <w:pPr>
        <w:jc w:val="center"/>
        <w:rPr>
          <w:rFonts w:ascii="宋体" w:hAnsi="宋体" w:hint="eastAsia"/>
          <w:szCs w:val="21"/>
        </w:rPr>
      </w:pPr>
    </w:p>
    <w:p w:rsidR="0050720E" w:rsidRDefault="0050720E">
      <w:pPr>
        <w:pStyle w:val="1"/>
        <w:numPr>
          <w:ilvl w:val="0"/>
          <w:numId w:val="2"/>
        </w:numPr>
        <w:spacing w:before="0" w:after="0" w:line="240" w:lineRule="auto"/>
        <w:rPr>
          <w:rFonts w:ascii="宋体" w:hAnsi="宋体" w:hint="eastAsia"/>
          <w:sz w:val="21"/>
          <w:szCs w:val="21"/>
        </w:rPr>
      </w:pPr>
      <w:bookmarkStart w:id="2" w:name="ZJ_1_KS"/>
      <w:bookmarkEnd w:id="2"/>
      <w:r>
        <w:rPr>
          <w:rFonts w:ascii="宋体" w:hAnsi="宋体" w:hint="eastAsia"/>
          <w:sz w:val="21"/>
          <w:szCs w:val="21"/>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4"/>
        <w:gridCol w:w="3049"/>
        <w:gridCol w:w="3139"/>
      </w:tblGrid>
      <w:tr w:rsidR="0050720E" w:rsidRPr="00AC5E57">
        <w:tc>
          <w:tcPr>
            <w:tcW w:w="5095"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color w:val="000000"/>
                <w:szCs w:val="21"/>
              </w:rPr>
            </w:pPr>
            <w:r>
              <w:rPr>
                <w:rFonts w:ascii="宋体" w:hAnsi="宋体" w:hint="eastAsia"/>
                <w:color w:val="000000"/>
                <w:szCs w:val="21"/>
              </w:rPr>
              <w:t>基金名称</w:t>
            </w:r>
          </w:p>
        </w:tc>
        <w:tc>
          <w:tcPr>
            <w:tcW w:w="126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中信保诚国企红利量化选股股票型证券投资基金</w:t>
            </w:r>
          </w:p>
        </w:tc>
      </w:tr>
      <w:tr w:rsidR="0050720E" w:rsidRPr="00AC5E57">
        <w:tc>
          <w:tcPr>
            <w:tcW w:w="5095"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color w:val="000000"/>
                <w:szCs w:val="21"/>
              </w:rPr>
            </w:pPr>
            <w:r>
              <w:rPr>
                <w:rFonts w:ascii="宋体" w:hAnsi="宋体" w:hint="eastAsia"/>
                <w:color w:val="000000"/>
                <w:szCs w:val="21"/>
              </w:rPr>
              <w:t>基金简称</w:t>
            </w:r>
          </w:p>
        </w:tc>
        <w:tc>
          <w:tcPr>
            <w:tcW w:w="126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中信保诚国企红利量化股票</w:t>
            </w:r>
          </w:p>
        </w:tc>
      </w:tr>
      <w:tr w:rsidR="0050720E" w:rsidRPr="00AC5E57">
        <w:tc>
          <w:tcPr>
            <w:tcW w:w="5095"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color w:val="000000"/>
                <w:szCs w:val="21"/>
              </w:rPr>
            </w:pPr>
            <w:r>
              <w:rPr>
                <w:rFonts w:ascii="宋体" w:hAnsi="宋体" w:hint="eastAsia"/>
                <w:color w:val="000000"/>
                <w:szCs w:val="21"/>
              </w:rPr>
              <w:t>基金主代码</w:t>
            </w:r>
          </w:p>
        </w:tc>
        <w:tc>
          <w:tcPr>
            <w:tcW w:w="126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020768</w:t>
            </w:r>
          </w:p>
        </w:tc>
      </w:tr>
      <w:tr w:rsidR="0050720E" w:rsidRPr="00AC5E57">
        <w:tc>
          <w:tcPr>
            <w:tcW w:w="5095"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color w:val="000000"/>
                <w:szCs w:val="21"/>
              </w:rPr>
            </w:pPr>
            <w:r>
              <w:rPr>
                <w:rFonts w:ascii="宋体" w:hAnsi="宋体" w:hint="eastAsia"/>
                <w:color w:val="000000"/>
                <w:szCs w:val="21"/>
              </w:rPr>
              <w:t>基金运作方式</w:t>
            </w:r>
          </w:p>
        </w:tc>
        <w:tc>
          <w:tcPr>
            <w:tcW w:w="126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契约型开放式</w:t>
            </w:r>
          </w:p>
        </w:tc>
      </w:tr>
      <w:tr w:rsidR="0050720E" w:rsidRPr="00AC5E57">
        <w:tc>
          <w:tcPr>
            <w:tcW w:w="5095"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color w:val="000000"/>
                <w:szCs w:val="21"/>
              </w:rPr>
            </w:pPr>
            <w:r>
              <w:rPr>
                <w:rFonts w:ascii="宋体" w:hAnsi="宋体" w:hint="eastAsia"/>
                <w:color w:val="000000"/>
                <w:szCs w:val="21"/>
              </w:rPr>
              <w:t>基金合同生效日</w:t>
            </w:r>
          </w:p>
        </w:tc>
        <w:tc>
          <w:tcPr>
            <w:tcW w:w="126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2024年03月22日</w:t>
            </w:r>
          </w:p>
        </w:tc>
      </w:tr>
      <w:tr w:rsidR="0050720E" w:rsidRPr="00AC5E57">
        <w:tc>
          <w:tcPr>
            <w:tcW w:w="5095"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color w:val="000000"/>
                <w:szCs w:val="21"/>
              </w:rPr>
            </w:pPr>
            <w:r>
              <w:rPr>
                <w:rFonts w:ascii="宋体" w:hAnsi="宋体" w:hint="eastAsia"/>
                <w:color w:val="000000"/>
                <w:szCs w:val="21"/>
              </w:rPr>
              <w:t>基金管理人名称</w:t>
            </w:r>
          </w:p>
        </w:tc>
        <w:tc>
          <w:tcPr>
            <w:tcW w:w="126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中信保诚基金管理有限公司</w:t>
            </w:r>
          </w:p>
        </w:tc>
      </w:tr>
      <w:tr w:rsidR="0050720E" w:rsidRPr="00AC5E57">
        <w:tc>
          <w:tcPr>
            <w:tcW w:w="5095"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color w:val="000000"/>
                <w:szCs w:val="21"/>
              </w:rPr>
            </w:pPr>
            <w:bookmarkStart w:id="3" w:name="YSH_0213_KS_1"/>
            <w:bookmarkEnd w:id="3"/>
            <w:r>
              <w:rPr>
                <w:rFonts w:ascii="宋体" w:hAnsi="宋体" w:hint="eastAsia"/>
                <w:color w:val="000000"/>
                <w:szCs w:val="21"/>
              </w:rPr>
              <w:t>基金托管人名称</w:t>
            </w:r>
          </w:p>
        </w:tc>
        <w:tc>
          <w:tcPr>
            <w:tcW w:w="126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华泰证券股份有限公司</w:t>
            </w:r>
            <w:bookmarkStart w:id="4" w:name="YSH_0213_JS_1"/>
            <w:bookmarkEnd w:id="4"/>
          </w:p>
        </w:tc>
      </w:tr>
      <w:tr w:rsidR="0050720E" w:rsidRPr="00AC5E57">
        <w:tc>
          <w:tcPr>
            <w:tcW w:w="5095"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color w:val="000000"/>
                <w:szCs w:val="21"/>
              </w:rPr>
            </w:pPr>
            <w:r>
              <w:rPr>
                <w:rFonts w:ascii="宋体" w:hAnsi="宋体" w:hint="eastAsia"/>
                <w:color w:val="000000"/>
                <w:szCs w:val="21"/>
              </w:rPr>
              <w:t>公告依据</w:t>
            </w:r>
          </w:p>
        </w:tc>
        <w:tc>
          <w:tcPr>
            <w:tcW w:w="126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中华人民共和国证券投资基金法》、《公开募集证券投资基金运作管理办法》等法律法规以及《中信保诚国企红利量化选股股票型证券投资基金基金合同》、《中信保诚国企红利量化选股股票型证券投资基金招募说明书》</w:t>
            </w:r>
          </w:p>
        </w:tc>
      </w:tr>
      <w:tr w:rsidR="0050720E" w:rsidRPr="00AC5E57">
        <w:trPr>
          <w:trHeight w:val="156"/>
        </w:trPr>
        <w:tc>
          <w:tcPr>
            <w:tcW w:w="5095"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szCs w:val="21"/>
              </w:rPr>
            </w:pPr>
            <w:bookmarkStart w:id="5" w:name="FJH_2_KS_1"/>
            <w:bookmarkEnd w:id="5"/>
            <w:r>
              <w:rPr>
                <w:rFonts w:hint="eastAsia"/>
                <w:color w:val="000000"/>
                <w:szCs w:val="21"/>
              </w:rPr>
              <w:t>下属分级基金的基金简称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中信保诚国企红利量化股票A</w:t>
            </w:r>
          </w:p>
        </w:tc>
        <w:tc>
          <w:tcPr>
            <w:tcW w:w="6457"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中信保诚国企红利量化股票C</w:t>
            </w:r>
          </w:p>
        </w:tc>
      </w:tr>
      <w:tr w:rsidR="0050720E" w:rsidRPr="00AC5E57">
        <w:trPr>
          <w:trHeight w:val="156"/>
        </w:trPr>
        <w:tc>
          <w:tcPr>
            <w:tcW w:w="5095"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szCs w:val="21"/>
              </w:rPr>
            </w:pPr>
            <w:r>
              <w:rPr>
                <w:rFonts w:hint="eastAsia"/>
                <w:color w:val="000000"/>
                <w:szCs w:val="21"/>
              </w:rPr>
              <w:t>下属分级基金的交易代码</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020768</w:t>
            </w:r>
          </w:p>
        </w:tc>
        <w:tc>
          <w:tcPr>
            <w:tcW w:w="6457"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szCs w:val="21"/>
              </w:rPr>
              <w:t>020769</w:t>
            </w:r>
            <w:bookmarkStart w:id="6" w:name="FJH_2_JS_1"/>
            <w:bookmarkEnd w:id="6"/>
          </w:p>
        </w:tc>
      </w:tr>
    </w:tbl>
    <w:p w:rsidR="0050720E" w:rsidRDefault="0050720E">
      <w:pPr>
        <w:pStyle w:val="1"/>
        <w:numPr>
          <w:ilvl w:val="0"/>
          <w:numId w:val="2"/>
        </w:numPr>
        <w:spacing w:beforeLines="100" w:after="0" w:line="240" w:lineRule="auto"/>
        <w:rPr>
          <w:rFonts w:ascii="宋体" w:hAnsi="宋体" w:hint="eastAsia"/>
          <w:sz w:val="21"/>
          <w:szCs w:val="21"/>
        </w:rPr>
      </w:pPr>
      <w:bookmarkStart w:id="7" w:name="ZJ_2_KS"/>
      <w:bookmarkEnd w:id="7"/>
      <w:r>
        <w:rPr>
          <w:rFonts w:ascii="宋体" w:hAnsi="宋体" w:hint="eastAsia"/>
          <w:sz w:val="21"/>
          <w:szCs w:val="21"/>
        </w:rPr>
        <w:t>基金募集情况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3"/>
        <w:gridCol w:w="1078"/>
        <w:gridCol w:w="2112"/>
        <w:gridCol w:w="2196"/>
        <w:gridCol w:w="2183"/>
      </w:tblGrid>
      <w:tr w:rsidR="0050720E" w:rsidRPr="00AC5E57">
        <w:trPr>
          <w:trHeight w:val="20"/>
        </w:trPr>
        <w:tc>
          <w:tcPr>
            <w:tcW w:w="50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b/>
                <w:color w:val="000000"/>
                <w:szCs w:val="21"/>
              </w:rPr>
            </w:pPr>
            <w:r>
              <w:rPr>
                <w:rFonts w:ascii="宋体" w:hAnsi="宋体" w:hint="eastAsia"/>
                <w:color w:val="000000"/>
                <w:szCs w:val="21"/>
              </w:rPr>
              <w:t>基金募集申请获中国证监会核准的文号</w:t>
            </w:r>
          </w:p>
        </w:tc>
        <w:tc>
          <w:tcPr>
            <w:tcW w:w="12695" w:type="dxa"/>
            <w:gridSpan w:val="3"/>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证监许可[2024]165号</w:t>
            </w:r>
          </w:p>
        </w:tc>
      </w:tr>
      <w:tr w:rsidR="0050720E" w:rsidRPr="00AC5E57">
        <w:trPr>
          <w:trHeight w:val="20"/>
        </w:trPr>
        <w:tc>
          <w:tcPr>
            <w:tcW w:w="50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b/>
                <w:color w:val="000000"/>
                <w:szCs w:val="21"/>
              </w:rPr>
            </w:pPr>
            <w:r>
              <w:rPr>
                <w:rFonts w:ascii="宋体" w:hAnsi="宋体" w:hint="eastAsia"/>
                <w:color w:val="000000"/>
                <w:szCs w:val="21"/>
              </w:rPr>
              <w:t>基金募集期间</w:t>
            </w:r>
          </w:p>
        </w:tc>
        <w:tc>
          <w:tcPr>
            <w:tcW w:w="12695" w:type="dxa"/>
            <w:gridSpan w:val="3"/>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color w:val="000000"/>
                <w:szCs w:val="21"/>
              </w:rPr>
            </w:pPr>
            <w:r>
              <w:rPr>
                <w:rFonts w:ascii="宋体" w:hAnsi="宋体" w:hint="eastAsia"/>
                <w:color w:val="000000"/>
                <w:szCs w:val="21"/>
              </w:rPr>
              <w:t>自2024年03月06日至2024年03月20日止</w:t>
            </w:r>
          </w:p>
        </w:tc>
      </w:tr>
      <w:tr w:rsidR="0050720E" w:rsidRPr="00AC5E57">
        <w:trPr>
          <w:trHeight w:val="20"/>
        </w:trPr>
        <w:tc>
          <w:tcPr>
            <w:tcW w:w="50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b/>
                <w:color w:val="000000"/>
                <w:szCs w:val="21"/>
              </w:rPr>
            </w:pPr>
            <w:bookmarkStart w:id="8" w:name="YSH_2648_KS_2"/>
            <w:bookmarkEnd w:id="8"/>
            <w:r>
              <w:rPr>
                <w:rFonts w:ascii="宋体" w:hAnsi="宋体" w:hint="eastAsia"/>
                <w:color w:val="000000"/>
                <w:szCs w:val="21"/>
              </w:rPr>
              <w:t>验资机构名称</w:t>
            </w:r>
          </w:p>
        </w:tc>
        <w:tc>
          <w:tcPr>
            <w:tcW w:w="12695" w:type="dxa"/>
            <w:gridSpan w:val="3"/>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普华永道中天会计师事务所（特殊普通合伙）</w:t>
            </w:r>
            <w:bookmarkStart w:id="9" w:name="YSH_2648_JS_2"/>
            <w:bookmarkEnd w:id="9"/>
          </w:p>
        </w:tc>
      </w:tr>
      <w:tr w:rsidR="0050720E" w:rsidRPr="00AC5E57">
        <w:trPr>
          <w:trHeight w:val="20"/>
        </w:trPr>
        <w:tc>
          <w:tcPr>
            <w:tcW w:w="50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b/>
                <w:color w:val="000000"/>
                <w:szCs w:val="21"/>
              </w:rPr>
            </w:pPr>
            <w:bookmarkStart w:id="10" w:name="YSH_2816_KS_2"/>
            <w:bookmarkEnd w:id="10"/>
            <w:r>
              <w:rPr>
                <w:rFonts w:ascii="宋体" w:hAnsi="宋体" w:hint="eastAsia"/>
                <w:color w:val="000000"/>
                <w:szCs w:val="21"/>
              </w:rPr>
              <w:t>募集资金划入基金托管专户的日期</w:t>
            </w:r>
          </w:p>
        </w:tc>
        <w:tc>
          <w:tcPr>
            <w:tcW w:w="12695" w:type="dxa"/>
            <w:gridSpan w:val="3"/>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2024年03月22日</w:t>
            </w:r>
            <w:bookmarkStart w:id="11" w:name="YSH_2816_JS_2"/>
            <w:bookmarkEnd w:id="11"/>
          </w:p>
        </w:tc>
      </w:tr>
      <w:tr w:rsidR="0050720E" w:rsidRPr="00AC5E57">
        <w:trPr>
          <w:trHeight w:val="20"/>
        </w:trPr>
        <w:tc>
          <w:tcPr>
            <w:tcW w:w="50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rPr>
                <w:rFonts w:ascii="宋体" w:hAnsi="宋体" w:hint="eastAsia"/>
                <w:b/>
                <w:color w:val="000000"/>
                <w:szCs w:val="21"/>
              </w:rPr>
            </w:pPr>
            <w:bookmarkStart w:id="12" w:name="YSH_0100_KS_2"/>
            <w:bookmarkEnd w:id="12"/>
            <w:r>
              <w:rPr>
                <w:rFonts w:ascii="宋体" w:hAnsi="宋体" w:hint="eastAsia"/>
                <w:color w:val="000000"/>
                <w:szCs w:val="21"/>
              </w:rPr>
              <w:t>募集有效认购总户数（单位:户）</w:t>
            </w:r>
          </w:p>
        </w:tc>
        <w:tc>
          <w:tcPr>
            <w:tcW w:w="12695" w:type="dxa"/>
            <w:gridSpan w:val="3"/>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color w:val="000000"/>
                <w:szCs w:val="21"/>
              </w:rPr>
            </w:pPr>
            <w:r>
              <w:rPr>
                <w:rFonts w:ascii="宋体" w:hAnsi="宋体" w:hint="eastAsia"/>
                <w:color w:val="000000"/>
                <w:szCs w:val="21"/>
              </w:rPr>
              <w:t>7,820</w:t>
            </w:r>
            <w:bookmarkStart w:id="13" w:name="YSH_0100_JS_2"/>
            <w:bookmarkEnd w:id="13"/>
          </w:p>
        </w:tc>
      </w:tr>
      <w:tr w:rsidR="0050720E" w:rsidRPr="00AC5E57">
        <w:trPr>
          <w:trHeight w:val="20"/>
        </w:trPr>
        <w:tc>
          <w:tcPr>
            <w:tcW w:w="50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center"/>
              <w:rPr>
                <w:rFonts w:ascii="宋体" w:hAnsi="宋体" w:hint="eastAsia"/>
                <w:color w:val="000000"/>
                <w:szCs w:val="21"/>
              </w:rPr>
            </w:pPr>
            <w:bookmarkStart w:id="14" w:name="FJH_2_KS_2"/>
            <w:bookmarkEnd w:id="14"/>
            <w:r>
              <w:rPr>
                <w:rFonts w:ascii="宋体" w:hAnsi="宋体" w:hint="eastAsia"/>
                <w:color w:val="000000"/>
                <w:szCs w:val="21"/>
              </w:rPr>
              <w:t>份额级别</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center"/>
              <w:rPr>
                <w:rFonts w:ascii="宋体" w:hAnsi="宋体" w:hint="eastAsia"/>
                <w:szCs w:val="21"/>
              </w:rPr>
            </w:pPr>
            <w:r>
              <w:rPr>
                <w:rFonts w:ascii="宋体" w:hAnsi="宋体" w:hint="eastAsia"/>
                <w:szCs w:val="21"/>
              </w:rPr>
              <w:t>中信保诚国企红利量化股票A</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center"/>
              <w:rPr>
                <w:rFonts w:ascii="宋体" w:hAnsi="宋体" w:hint="eastAsia"/>
                <w:szCs w:val="21"/>
              </w:rPr>
            </w:pPr>
            <w:r>
              <w:rPr>
                <w:rFonts w:ascii="宋体" w:hAnsi="宋体" w:hint="eastAsia"/>
                <w:szCs w:val="21"/>
              </w:rPr>
              <w:t>中信保诚国企红利量化股票C</w:t>
            </w:r>
          </w:p>
        </w:tc>
        <w:tc>
          <w:tcPr>
            <w:tcW w:w="4190"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center"/>
              <w:rPr>
                <w:rFonts w:ascii="宋体" w:hAnsi="宋体" w:hint="eastAsia"/>
                <w:szCs w:val="21"/>
              </w:rPr>
            </w:pPr>
            <w:r>
              <w:rPr>
                <w:rFonts w:ascii="宋体" w:hAnsi="宋体" w:hint="eastAsia"/>
                <w:szCs w:val="21"/>
              </w:rPr>
              <w:t>中信保诚国企红利量化股票</w:t>
            </w:r>
          </w:p>
        </w:tc>
      </w:tr>
      <w:tr w:rsidR="0050720E" w:rsidRPr="00AC5E57">
        <w:trPr>
          <w:trHeight w:val="20"/>
        </w:trPr>
        <w:tc>
          <w:tcPr>
            <w:tcW w:w="50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募集期间净认购金额（单位:人民币元）</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28,575,787.99</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277,790,093.81</w:t>
            </w:r>
          </w:p>
        </w:tc>
        <w:tc>
          <w:tcPr>
            <w:tcW w:w="4190"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306,365,881.80</w:t>
            </w:r>
          </w:p>
        </w:tc>
      </w:tr>
      <w:tr w:rsidR="0050720E" w:rsidRPr="00AC5E57">
        <w:trPr>
          <w:trHeight w:val="20"/>
        </w:trPr>
        <w:tc>
          <w:tcPr>
            <w:tcW w:w="50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认购资金在募集期间产生的利息（单位:人民币元）</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color w:val="000000"/>
                <w:szCs w:val="21"/>
              </w:rPr>
            </w:pPr>
            <w:r>
              <w:rPr>
                <w:rFonts w:ascii="宋体" w:hAnsi="宋体" w:hint="eastAsia"/>
                <w:color w:val="000000"/>
                <w:szCs w:val="21"/>
              </w:rPr>
              <w:t>4,785.98</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color w:val="000000"/>
                <w:szCs w:val="21"/>
              </w:rPr>
            </w:pPr>
            <w:r>
              <w:rPr>
                <w:rFonts w:ascii="宋体" w:hAnsi="宋体" w:hint="eastAsia"/>
                <w:color w:val="000000"/>
                <w:szCs w:val="21"/>
              </w:rPr>
              <w:t>29,130.81</w:t>
            </w:r>
          </w:p>
        </w:tc>
        <w:tc>
          <w:tcPr>
            <w:tcW w:w="4190"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color w:val="000000"/>
                <w:szCs w:val="21"/>
              </w:rPr>
            </w:pPr>
            <w:r>
              <w:rPr>
                <w:rFonts w:ascii="宋体" w:hAnsi="宋体" w:hint="eastAsia"/>
                <w:color w:val="000000"/>
                <w:szCs w:val="21"/>
              </w:rPr>
              <w:t>33,916.79</w:t>
            </w:r>
          </w:p>
        </w:tc>
      </w:tr>
      <w:tr w:rsidR="0050720E" w:rsidRPr="00AC5E57">
        <w:trPr>
          <w:trHeight w:val="20"/>
        </w:trPr>
        <w:tc>
          <w:tcPr>
            <w:tcW w:w="2233" w:type="dxa"/>
            <w:vMerge w:val="restart"/>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募集份</w:t>
            </w:r>
            <w:r>
              <w:rPr>
                <w:rFonts w:ascii="宋体" w:hAnsi="宋体" w:hint="eastAsia"/>
                <w:color w:val="000000"/>
                <w:szCs w:val="21"/>
              </w:rPr>
              <w:lastRenderedPageBreak/>
              <w:t>额（单位:份）</w:t>
            </w:r>
          </w:p>
        </w:tc>
        <w:tc>
          <w:tcPr>
            <w:tcW w:w="2861"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lastRenderedPageBreak/>
              <w:t>有效认购</w:t>
            </w:r>
            <w:r>
              <w:rPr>
                <w:rFonts w:ascii="宋体" w:hAnsi="宋体" w:hint="eastAsia"/>
                <w:color w:val="000000"/>
                <w:szCs w:val="21"/>
              </w:rPr>
              <w:lastRenderedPageBreak/>
              <w:t>份额</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lastRenderedPageBreak/>
              <w:t>28,575,787.99</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277,790,093.81</w:t>
            </w:r>
          </w:p>
        </w:tc>
        <w:tc>
          <w:tcPr>
            <w:tcW w:w="4190"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306,365,881.80</w:t>
            </w:r>
          </w:p>
        </w:tc>
      </w:tr>
      <w:tr w:rsidR="0050720E" w:rsidRPr="00AC5E5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720E" w:rsidRDefault="0050720E">
            <w:pPr>
              <w:widowControl/>
              <w:jc w:val="left"/>
              <w:rPr>
                <w:rFonts w:ascii="宋体" w:hAnsi="宋体"/>
                <w:color w:val="000000"/>
                <w:szCs w:val="21"/>
              </w:rPr>
            </w:pPr>
          </w:p>
        </w:tc>
        <w:tc>
          <w:tcPr>
            <w:tcW w:w="2861"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利息结转的份额</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4,785.98</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29,130.81</w:t>
            </w:r>
          </w:p>
        </w:tc>
        <w:tc>
          <w:tcPr>
            <w:tcW w:w="4190"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33,916.79</w:t>
            </w:r>
          </w:p>
        </w:tc>
      </w:tr>
      <w:tr w:rsidR="0050720E" w:rsidRPr="00AC5E5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720E" w:rsidRDefault="0050720E">
            <w:pPr>
              <w:widowControl/>
              <w:jc w:val="left"/>
              <w:rPr>
                <w:rFonts w:ascii="宋体" w:hAnsi="宋体"/>
                <w:color w:val="000000"/>
                <w:szCs w:val="21"/>
              </w:rPr>
            </w:pPr>
          </w:p>
        </w:tc>
        <w:tc>
          <w:tcPr>
            <w:tcW w:w="2861"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合计</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28,580,573.97</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277,819,224.62</w:t>
            </w:r>
          </w:p>
        </w:tc>
        <w:tc>
          <w:tcPr>
            <w:tcW w:w="4190"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306,399,798.59</w:t>
            </w:r>
          </w:p>
        </w:tc>
      </w:tr>
      <w:tr w:rsidR="0050720E" w:rsidRPr="00AC5E57">
        <w:trPr>
          <w:trHeight w:val="20"/>
        </w:trPr>
        <w:tc>
          <w:tcPr>
            <w:tcW w:w="2233" w:type="dxa"/>
            <w:vMerge w:val="restart"/>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其中：募集期间基金管理人运用固有资金认购本基金情况</w:t>
            </w:r>
          </w:p>
        </w:tc>
        <w:tc>
          <w:tcPr>
            <w:tcW w:w="2861"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认购的基金份额（单位:份）</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0.00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0.00</w:t>
            </w:r>
          </w:p>
        </w:tc>
        <w:tc>
          <w:tcPr>
            <w:tcW w:w="4190"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0.00</w:t>
            </w:r>
          </w:p>
        </w:tc>
      </w:tr>
      <w:tr w:rsidR="0050720E" w:rsidRPr="00AC5E5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720E" w:rsidRDefault="0050720E">
            <w:pPr>
              <w:widowControl/>
              <w:jc w:val="left"/>
              <w:rPr>
                <w:rFonts w:ascii="宋体" w:hAnsi="宋体"/>
                <w:color w:val="000000"/>
                <w:szCs w:val="21"/>
              </w:rPr>
            </w:pPr>
          </w:p>
        </w:tc>
        <w:tc>
          <w:tcPr>
            <w:tcW w:w="2861"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占基金总份额比例</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0.00%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0.00%</w:t>
            </w:r>
          </w:p>
        </w:tc>
        <w:tc>
          <w:tcPr>
            <w:tcW w:w="4190"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0.00%</w:t>
            </w:r>
          </w:p>
        </w:tc>
      </w:tr>
      <w:tr w:rsidR="0050720E" w:rsidRPr="00AC5E5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720E" w:rsidRDefault="0050720E">
            <w:pPr>
              <w:widowControl/>
              <w:jc w:val="left"/>
              <w:rPr>
                <w:rFonts w:ascii="宋体" w:hAnsi="宋体"/>
                <w:color w:val="000000"/>
                <w:szCs w:val="21"/>
              </w:rPr>
            </w:pPr>
          </w:p>
        </w:tc>
        <w:tc>
          <w:tcPr>
            <w:tcW w:w="2861"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其他需要说明的事项</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无</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无</w:t>
            </w:r>
          </w:p>
        </w:tc>
        <w:tc>
          <w:tcPr>
            <w:tcW w:w="4190"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right"/>
              <w:rPr>
                <w:rFonts w:ascii="宋体" w:hAnsi="宋体" w:hint="eastAsia"/>
                <w:szCs w:val="21"/>
              </w:rPr>
            </w:pPr>
            <w:r>
              <w:rPr>
                <w:rFonts w:ascii="宋体" w:hAnsi="宋体" w:hint="eastAsia"/>
                <w:szCs w:val="21"/>
              </w:rPr>
              <w:t>无</w:t>
            </w:r>
          </w:p>
        </w:tc>
      </w:tr>
      <w:tr w:rsidR="0050720E" w:rsidRPr="00AC5E57">
        <w:trPr>
          <w:trHeight w:val="20"/>
        </w:trPr>
        <w:tc>
          <w:tcPr>
            <w:tcW w:w="2233" w:type="dxa"/>
            <w:vMerge w:val="restart"/>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其中：募集期间基金管理人的从业人员认购本基金情况</w:t>
            </w:r>
          </w:p>
        </w:tc>
        <w:tc>
          <w:tcPr>
            <w:tcW w:w="2861"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spacing w:line="360" w:lineRule="auto"/>
              <w:jc w:val="left"/>
              <w:rPr>
                <w:rFonts w:ascii="宋体" w:hAnsi="宋体" w:hint="eastAsia"/>
                <w:color w:val="000000"/>
                <w:szCs w:val="21"/>
              </w:rPr>
            </w:pPr>
            <w:r>
              <w:rPr>
                <w:rFonts w:ascii="宋体" w:hAnsi="宋体" w:hint="eastAsia"/>
                <w:color w:val="000000"/>
                <w:szCs w:val="21"/>
              </w:rPr>
              <w:t>认购的基金份额（单位:份）</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spacing w:line="360" w:lineRule="auto"/>
              <w:jc w:val="right"/>
              <w:rPr>
                <w:rFonts w:ascii="宋体" w:hAnsi="宋体" w:hint="eastAsia"/>
                <w:szCs w:val="21"/>
              </w:rPr>
            </w:pPr>
            <w:r>
              <w:rPr>
                <w:rFonts w:ascii="宋体" w:hAnsi="宋体" w:hint="eastAsia"/>
                <w:szCs w:val="21"/>
              </w:rPr>
              <w:t>0.00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spacing w:line="360" w:lineRule="auto"/>
              <w:jc w:val="right"/>
              <w:rPr>
                <w:rFonts w:ascii="宋体" w:hAnsi="宋体" w:hint="eastAsia"/>
                <w:szCs w:val="21"/>
              </w:rPr>
            </w:pPr>
            <w:r>
              <w:rPr>
                <w:rFonts w:ascii="宋体" w:hAnsi="宋体" w:hint="eastAsia"/>
                <w:szCs w:val="21"/>
              </w:rPr>
              <w:t>52,010.18</w:t>
            </w:r>
          </w:p>
        </w:tc>
        <w:tc>
          <w:tcPr>
            <w:tcW w:w="4190"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spacing w:line="360" w:lineRule="auto"/>
              <w:jc w:val="right"/>
              <w:rPr>
                <w:rFonts w:ascii="宋体" w:hAnsi="宋体" w:hint="eastAsia"/>
                <w:szCs w:val="21"/>
              </w:rPr>
            </w:pPr>
            <w:r>
              <w:rPr>
                <w:rFonts w:ascii="宋体" w:hAnsi="宋体" w:hint="eastAsia"/>
                <w:szCs w:val="21"/>
              </w:rPr>
              <w:t>52,010.18</w:t>
            </w:r>
          </w:p>
        </w:tc>
      </w:tr>
      <w:tr w:rsidR="0050720E" w:rsidRPr="00AC5E5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720E" w:rsidRDefault="0050720E">
            <w:pPr>
              <w:widowControl/>
              <w:jc w:val="left"/>
              <w:rPr>
                <w:rFonts w:ascii="宋体" w:hAnsi="宋体"/>
                <w:color w:val="000000"/>
                <w:szCs w:val="21"/>
              </w:rPr>
            </w:pPr>
          </w:p>
        </w:tc>
        <w:tc>
          <w:tcPr>
            <w:tcW w:w="2861"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spacing w:line="360" w:lineRule="auto"/>
              <w:jc w:val="left"/>
              <w:rPr>
                <w:rFonts w:ascii="宋体" w:hAnsi="宋体" w:hint="eastAsia"/>
                <w:color w:val="000000"/>
                <w:szCs w:val="21"/>
              </w:rPr>
            </w:pPr>
            <w:r>
              <w:rPr>
                <w:rFonts w:ascii="宋体" w:hAnsi="宋体" w:hint="eastAsia"/>
                <w:color w:val="000000"/>
                <w:szCs w:val="21"/>
              </w:rPr>
              <w:t>占基金总份额比例</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spacing w:line="360" w:lineRule="auto"/>
              <w:jc w:val="right"/>
              <w:rPr>
                <w:rFonts w:ascii="宋体" w:hAnsi="宋体" w:hint="eastAsia"/>
                <w:color w:val="000000"/>
                <w:szCs w:val="21"/>
              </w:rPr>
            </w:pPr>
            <w:r>
              <w:rPr>
                <w:rFonts w:ascii="宋体" w:hAnsi="宋体" w:hint="eastAsia"/>
                <w:color w:val="000000"/>
                <w:szCs w:val="21"/>
              </w:rPr>
              <w:t>0.00%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spacing w:line="360" w:lineRule="auto"/>
              <w:jc w:val="right"/>
              <w:rPr>
                <w:rFonts w:ascii="宋体" w:hAnsi="宋体" w:hint="eastAsia"/>
                <w:color w:val="000000"/>
                <w:szCs w:val="21"/>
              </w:rPr>
            </w:pPr>
            <w:r>
              <w:rPr>
                <w:rFonts w:ascii="宋体" w:hAnsi="宋体" w:hint="eastAsia"/>
                <w:color w:val="000000"/>
                <w:szCs w:val="21"/>
              </w:rPr>
              <w:t>0.02%</w:t>
            </w:r>
          </w:p>
        </w:tc>
        <w:tc>
          <w:tcPr>
            <w:tcW w:w="4190" w:type="dxa"/>
            <w:tcBorders>
              <w:top w:val="single" w:sz="4" w:space="0" w:color="000000"/>
              <w:left w:val="single" w:sz="4" w:space="0" w:color="000000"/>
              <w:bottom w:val="single" w:sz="4" w:space="0" w:color="000000"/>
              <w:right w:val="single" w:sz="4" w:space="0" w:color="000000"/>
            </w:tcBorders>
            <w:vAlign w:val="center"/>
            <w:hideMark/>
          </w:tcPr>
          <w:p w:rsidR="0050720E" w:rsidRDefault="0050720E">
            <w:pPr>
              <w:spacing w:line="360" w:lineRule="auto"/>
              <w:jc w:val="right"/>
              <w:rPr>
                <w:rFonts w:ascii="宋体" w:hAnsi="宋体" w:hint="eastAsia"/>
                <w:color w:val="000000"/>
                <w:szCs w:val="21"/>
              </w:rPr>
            </w:pPr>
            <w:r>
              <w:rPr>
                <w:rFonts w:ascii="宋体" w:hAnsi="宋体" w:hint="eastAsia"/>
                <w:color w:val="000000"/>
                <w:szCs w:val="21"/>
              </w:rPr>
              <w:t>0.02%</w:t>
            </w:r>
            <w:bookmarkStart w:id="15" w:name="FJH_2_JS_2"/>
            <w:bookmarkEnd w:id="15"/>
          </w:p>
        </w:tc>
      </w:tr>
      <w:tr w:rsidR="0050720E" w:rsidRPr="00AC5E57">
        <w:trPr>
          <w:trHeight w:val="633"/>
        </w:trPr>
        <w:tc>
          <w:tcPr>
            <w:tcW w:w="50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募集期限届满基金是否符合法律法规规定的办理基金备案手续的条件</w:t>
            </w:r>
          </w:p>
        </w:tc>
        <w:tc>
          <w:tcPr>
            <w:tcW w:w="12695" w:type="dxa"/>
            <w:gridSpan w:val="3"/>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szCs w:val="21"/>
              </w:rPr>
            </w:pPr>
            <w:r>
              <w:rPr>
                <w:rFonts w:ascii="宋体" w:hAnsi="宋体" w:hint="eastAsia"/>
                <w:color w:val="000000"/>
                <w:szCs w:val="21"/>
              </w:rPr>
              <w:t>是</w:t>
            </w:r>
          </w:p>
        </w:tc>
      </w:tr>
      <w:tr w:rsidR="0050720E" w:rsidRPr="00AC5E57">
        <w:trPr>
          <w:trHeight w:val="635"/>
        </w:trPr>
        <w:tc>
          <w:tcPr>
            <w:tcW w:w="5094" w:type="dxa"/>
            <w:gridSpan w:val="2"/>
            <w:tcBorders>
              <w:top w:val="single" w:sz="4" w:space="0" w:color="000000"/>
              <w:left w:val="single" w:sz="4" w:space="0" w:color="000000"/>
              <w:bottom w:val="single" w:sz="4" w:space="0" w:color="000000"/>
              <w:right w:val="single" w:sz="4" w:space="0" w:color="000000"/>
            </w:tcBorders>
            <w:vAlign w:val="center"/>
            <w:hideMark/>
          </w:tcPr>
          <w:p w:rsidR="0050720E" w:rsidRDefault="0050720E">
            <w:pPr>
              <w:spacing w:line="360" w:lineRule="auto"/>
              <w:jc w:val="left"/>
              <w:rPr>
                <w:rFonts w:ascii="宋体" w:hAnsi="宋体" w:hint="eastAsia"/>
                <w:color w:val="000000"/>
                <w:szCs w:val="21"/>
              </w:rPr>
            </w:pPr>
            <w:r>
              <w:rPr>
                <w:rFonts w:ascii="宋体" w:hAnsi="宋体" w:hint="eastAsia"/>
                <w:color w:val="000000"/>
                <w:szCs w:val="21"/>
              </w:rPr>
              <w:t>向中国证监会办理基金备案手续获得书面确认的日期</w:t>
            </w:r>
          </w:p>
        </w:tc>
        <w:tc>
          <w:tcPr>
            <w:tcW w:w="12695" w:type="dxa"/>
            <w:gridSpan w:val="3"/>
            <w:tcBorders>
              <w:top w:val="single" w:sz="4" w:space="0" w:color="000000"/>
              <w:left w:val="single" w:sz="4" w:space="0" w:color="000000"/>
              <w:bottom w:val="single" w:sz="4" w:space="0" w:color="000000"/>
              <w:right w:val="single" w:sz="4" w:space="0" w:color="000000"/>
            </w:tcBorders>
            <w:vAlign w:val="center"/>
            <w:hideMark/>
          </w:tcPr>
          <w:p w:rsidR="0050720E" w:rsidRDefault="0050720E">
            <w:pPr>
              <w:jc w:val="left"/>
              <w:rPr>
                <w:rFonts w:ascii="宋体" w:hAnsi="宋体" w:hint="eastAsia"/>
                <w:color w:val="000000"/>
                <w:szCs w:val="21"/>
              </w:rPr>
            </w:pPr>
            <w:r>
              <w:rPr>
                <w:rFonts w:ascii="宋体" w:hAnsi="宋体" w:hint="eastAsia"/>
                <w:color w:val="000000"/>
                <w:szCs w:val="21"/>
              </w:rPr>
              <w:t>2024年03月22日</w:t>
            </w:r>
          </w:p>
        </w:tc>
      </w:tr>
    </w:tbl>
    <w:p w:rsidR="0050720E" w:rsidRDefault="0050720E">
      <w:pPr>
        <w:spacing w:line="360" w:lineRule="auto"/>
        <w:jc w:val="left"/>
        <w:rPr>
          <w:rFonts w:ascii="宋体" w:hAnsi="宋体" w:hint="eastAsia"/>
          <w:szCs w:val="21"/>
        </w:rPr>
      </w:pPr>
      <w:bookmarkStart w:id="16" w:name="WB_2_WB1"/>
      <w:bookmarkEnd w:id="16"/>
      <w:r>
        <w:rPr>
          <w:rFonts w:ascii="宋体" w:hAnsi="宋体" w:hint="eastAsia"/>
          <w:szCs w:val="21"/>
        </w:rPr>
        <w:t>注：1、本基金管理人高级管理人员、基金投资和研究部门负责人认购本基金份额总量的数量区间为0份；本基金的基金经理认购本基金份额总量的数量区间为0~10万份。</w:t>
      </w:r>
      <w:r>
        <w:rPr>
          <w:rFonts w:ascii="宋体" w:hAnsi="宋体" w:hint="eastAsia"/>
          <w:szCs w:val="21"/>
        </w:rPr>
        <w:br/>
        <w:t>2、募集期间基金管理人运用固有资金认购本基金份额、募集期间基金管理人的从业人员认购本基金份额占基金总份额比例的分母为各自类别的份额，对合计数，分母采用下属分类基金份额的合计数，即基金整体的份额总额。</w:t>
      </w:r>
      <w:bookmarkStart w:id="17" w:name="ZJ_2_JS"/>
      <w:bookmarkEnd w:id="17"/>
    </w:p>
    <w:p w:rsidR="0050720E" w:rsidRDefault="0050720E">
      <w:pPr>
        <w:pStyle w:val="1"/>
        <w:numPr>
          <w:ilvl w:val="0"/>
          <w:numId w:val="2"/>
        </w:numPr>
        <w:spacing w:beforeLines="100" w:after="0" w:line="240" w:lineRule="auto"/>
        <w:rPr>
          <w:rFonts w:ascii="宋体" w:hAnsi="宋体" w:hint="eastAsia"/>
          <w:sz w:val="21"/>
          <w:szCs w:val="21"/>
        </w:rPr>
      </w:pPr>
      <w:bookmarkStart w:id="18" w:name="ZJ_4_KS"/>
      <w:bookmarkEnd w:id="18"/>
      <w:r>
        <w:rPr>
          <w:rFonts w:ascii="宋体" w:hAnsi="宋体" w:hint="eastAsia"/>
          <w:sz w:val="21"/>
          <w:szCs w:val="21"/>
        </w:rPr>
        <w:t>其他需要提示的事项</w:t>
      </w:r>
    </w:p>
    <w:p w:rsidR="0050720E" w:rsidRDefault="0050720E">
      <w:pPr>
        <w:spacing w:line="360" w:lineRule="auto"/>
        <w:jc w:val="left"/>
        <w:rPr>
          <w:rFonts w:ascii="宋体" w:hAnsi="宋体" w:hint="eastAsia"/>
          <w:szCs w:val="21"/>
        </w:rPr>
      </w:pPr>
      <w:bookmarkStart w:id="19" w:name="WB_4_WB1"/>
      <w:bookmarkEnd w:id="19"/>
      <w:r>
        <w:rPr>
          <w:rFonts w:ascii="宋体" w:hAnsi="宋体" w:hint="eastAsia"/>
          <w:szCs w:val="21"/>
        </w:rPr>
        <w:t> （1）基金合同生效前发生的律师费、会计师费、法定信息披露费及其他费用从基金发行费用中列支,不另用基金财产支付。</w:t>
      </w:r>
      <w:r>
        <w:rPr>
          <w:rFonts w:ascii="宋体" w:hAnsi="宋体" w:hint="eastAsia"/>
          <w:szCs w:val="21"/>
        </w:rPr>
        <w:br/>
        <w:t> （2）基金管理人可根据实际情况依法决定本基金开始办理申购的具体日期，具体业务办理</w:t>
      </w:r>
      <w:r>
        <w:rPr>
          <w:rFonts w:ascii="宋体" w:hAnsi="宋体" w:hint="eastAsia"/>
          <w:szCs w:val="21"/>
        </w:rPr>
        <w:lastRenderedPageBreak/>
        <w:t>时间在开放申购业务的公告中规定。</w:t>
      </w:r>
      <w:r>
        <w:rPr>
          <w:rFonts w:ascii="宋体" w:hAnsi="宋体" w:hint="eastAsia"/>
          <w:szCs w:val="21"/>
        </w:rPr>
        <w:br/>
        <w:t>  基金管理人自基金合同生效之日起不超过3个月开始办理赎回，具体业务办理时间在开放赎回业务的公告中规定。</w:t>
      </w:r>
      <w:r>
        <w:rPr>
          <w:rFonts w:ascii="宋体" w:hAnsi="宋体" w:hint="eastAsia"/>
          <w:szCs w:val="21"/>
        </w:rPr>
        <w:br/>
        <w:t>  在确定申购开始与赎回开始时间后，基金管理人应在申购、赎回开放日前依照《公开募集证券投资基金信息披露管理办法》的有关规定在规定媒介上公告申购与赎回的开始时间。</w:t>
      </w:r>
      <w:r>
        <w:rPr>
          <w:rFonts w:ascii="宋体" w:hAnsi="宋体" w:hint="eastAsia"/>
          <w:szCs w:val="21"/>
        </w:rPr>
        <w:br/>
        <w:t> （3）销售机构受理投资人认购申请并不代表该申请一定成功，申请的成功与否须以本基金登记机构的确认结果为准。投资者可到销售机构柜台或以销售机构规定的其他方式进行交易确认的查询，也可以通过本基金管理人的客户服务电话400-666-0066或通过本基金管理人的网站www.citicprufunds.com.cn查询交易确认情况。</w:t>
      </w:r>
      <w:r>
        <w:rPr>
          <w:rFonts w:ascii="宋体" w:hAnsi="宋体" w:hint="eastAsia"/>
          <w:szCs w:val="21"/>
        </w:rPr>
        <w:br/>
        <w:t>  </w:t>
      </w:r>
      <w:r>
        <w:rPr>
          <w:rFonts w:ascii="宋体" w:hAnsi="宋体" w:hint="eastAsia"/>
          <w:szCs w:val="21"/>
        </w:rPr>
        <w:br/>
        <w:t>  风险提示：基金管理人承诺依照恪尽职守、诚实信用、谨慎勤勉的原则管理和运用基金资产，但不保证本基金一定盈利，也不保证最低收益和本金安全。投资人应当认真阅读基金合同、招募说明书、基金产品资料概要等基金信息披露文件，了解本基金的风险收益特征，并根据自身的投资目的、投资期限、投资经验、资产状况等判断基金是否和投资人的风险承受能力相适应，自主判断基金的投资价值，自主做出投资决策，自行承担投资风险。基金管理人提醒投资人基金投资的“买者自负”原则，在做出投资决策后，基金运营状况与基金净值变化引致的投资风险，由投资人自行负担。</w:t>
      </w:r>
      <w:r>
        <w:rPr>
          <w:rFonts w:ascii="宋体" w:hAnsi="宋体" w:hint="eastAsia"/>
          <w:szCs w:val="21"/>
        </w:rPr>
        <w:br/>
        <w:t>  </w:t>
      </w:r>
      <w:r>
        <w:rPr>
          <w:rFonts w:ascii="宋体" w:hAnsi="宋体" w:hint="eastAsia"/>
          <w:szCs w:val="21"/>
        </w:rPr>
        <w:br/>
        <w:t>  特此公告。</w:t>
      </w:r>
      <w:r>
        <w:rPr>
          <w:rFonts w:ascii="宋体" w:hAnsi="宋体" w:hint="eastAsia"/>
          <w:szCs w:val="21"/>
        </w:rPr>
        <w:br/>
      </w:r>
      <w:r>
        <w:rPr>
          <w:rFonts w:ascii="宋体" w:hAnsi="宋体" w:hint="eastAsia"/>
          <w:szCs w:val="21"/>
        </w:rPr>
        <w:br/>
      </w:r>
      <w:r>
        <w:rPr>
          <w:rFonts w:ascii="宋体" w:hAnsi="宋体" w:hint="eastAsia"/>
          <w:szCs w:val="21"/>
        </w:rPr>
        <w:br/>
        <w:t>                         中信保诚基金管理有限公司</w:t>
      </w:r>
      <w:r>
        <w:rPr>
          <w:rFonts w:ascii="宋体" w:hAnsi="宋体" w:hint="eastAsia"/>
          <w:szCs w:val="21"/>
        </w:rPr>
        <w:br/>
        <w:t>                         2024年03月23日</w:t>
      </w:r>
      <w:bookmarkStart w:id="20" w:name="ZJ_4_JS"/>
      <w:bookmarkEnd w:id="20"/>
    </w:p>
    <w:sectPr w:rsidR="0050720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0E" w:rsidRDefault="0050720E">
      <w:r>
        <w:separator/>
      </w:r>
    </w:p>
  </w:endnote>
  <w:endnote w:type="continuationSeparator" w:id="0">
    <w:p w:rsidR="0050720E" w:rsidRDefault="00507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0E" w:rsidRPr="00AC5E57" w:rsidRDefault="0050720E">
    <w:pPr>
      <w:pStyle w:val="a7"/>
      <w:jc w:val="center"/>
      <w:rPr>
        <w:rFonts w:hint="eastAsia"/>
      </w:rPr>
    </w:pPr>
    <w:fldSimple w:instr="PAGE   \* MERGEFORMAT">
      <w:r w:rsidR="006518CF" w:rsidRPr="006518CF">
        <w:rPr>
          <w:noProof/>
          <w:lang w:val="zh-CN"/>
        </w:rPr>
        <w:t>1</w:t>
      </w:r>
    </w:fldSimple>
  </w:p>
  <w:p w:rsidR="0050720E" w:rsidRDefault="005072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0E" w:rsidRDefault="0050720E">
      <w:r>
        <w:separator/>
      </w:r>
    </w:p>
  </w:footnote>
  <w:footnote w:type="continuationSeparator" w:id="0">
    <w:p w:rsidR="0050720E" w:rsidRDefault="00507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0E" w:rsidRDefault="0050720E">
    <w:pPr>
      <w:pStyle w:val="a5"/>
      <w:pBdr>
        <w:bottom w:val="single" w:sz="6" w:space="0" w:color="auto"/>
      </w:pBdr>
      <w:spacing w:line="240" w:lineRule="atLeast"/>
      <w:jc w:val="right"/>
      <w:rPr>
        <w:rFonts w:ascii="宋体" w:hAnsi="宋体"/>
      </w:rPr>
    </w:pPr>
    <w:r>
      <w:rPr>
        <w:rFonts w:ascii="宋体" w:hAnsi="宋体" w:hint="eastAsia"/>
      </w:rPr>
      <w:t>中信保诚国企红利量化选股股票型证券投资基金基金合同生效公告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A00B5"/>
    <w:multiLevelType w:val="hybridMultilevel"/>
    <w:tmpl w:val="95348914"/>
    <w:lvl w:ilvl="0" w:tplc="8382B088">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5E57"/>
    <w:rsid w:val="002238C3"/>
    <w:rsid w:val="0050720E"/>
    <w:rsid w:val="006518CF"/>
    <w:rsid w:val="00AC5E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eastAsia="宋体" w:cs="Times New Roman"/>
      <w:b/>
      <w:bCs/>
      <w:kern w:val="44"/>
      <w:sz w:val="44"/>
      <w:szCs w:val="44"/>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paragraph" w:styleId="a3">
    <w:name w:val="footnote text"/>
    <w:basedOn w:val="a"/>
    <w:link w:val="12"/>
    <w:semiHidden/>
    <w:unhideWhenUsed/>
    <w:pPr>
      <w:snapToGrid w:val="0"/>
      <w:jc w:val="left"/>
    </w:pPr>
    <w:rPr>
      <w:rFonts w:ascii="Times New Roman" w:hAnsi="Times New Roman"/>
      <w:sz w:val="18"/>
      <w:szCs w:val="20"/>
    </w:rPr>
  </w:style>
  <w:style w:type="character" w:customStyle="1" w:styleId="a4">
    <w:name w:val="脚注文本 字符"/>
    <w:link w:val="a3"/>
    <w:semiHidden/>
    <w:rPr>
      <w:rFonts w:eastAsia="宋体" w:cs="Times New Roman"/>
      <w:kern w:val="2"/>
      <w:sz w:val="18"/>
      <w:szCs w:val="18"/>
    </w:rPr>
  </w:style>
  <w:style w:type="paragraph" w:styleId="a5">
    <w:name w:val="header"/>
    <w:basedOn w:val="a"/>
    <w:link w:val="1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rPr>
      <w:rFonts w:eastAsia="宋体" w:cs="Times New Roman"/>
      <w:kern w:val="2"/>
      <w:sz w:val="18"/>
      <w:szCs w:val="18"/>
    </w:rPr>
  </w:style>
  <w:style w:type="paragraph" w:styleId="a7">
    <w:name w:val="footer"/>
    <w:basedOn w:val="a"/>
    <w:link w:val="14"/>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semiHidden/>
    <w:rPr>
      <w:rFonts w:eastAsia="宋体" w:cs="Times New Roman"/>
      <w:kern w:val="2"/>
      <w:sz w:val="18"/>
      <w:szCs w:val="18"/>
    </w:rPr>
  </w:style>
  <w:style w:type="paragraph" w:styleId="a9">
    <w:name w:val="Balloon Text"/>
    <w:basedOn w:val="a"/>
    <w:link w:val="15"/>
    <w:uiPriority w:val="99"/>
    <w:semiHidden/>
    <w:unhideWhenUsed/>
    <w:rPr>
      <w:sz w:val="18"/>
      <w:szCs w:val="18"/>
    </w:rPr>
  </w:style>
  <w:style w:type="character" w:customStyle="1" w:styleId="aa">
    <w:name w:val="批注框文本 字符"/>
    <w:link w:val="a9"/>
    <w:uiPriority w:val="99"/>
    <w:semiHidden/>
    <w:rPr>
      <w:rFonts w:eastAsia="宋体" w:cs="Times New Roman"/>
      <w:kern w:val="2"/>
      <w:sz w:val="18"/>
      <w:szCs w:val="18"/>
    </w:rPr>
  </w:style>
  <w:style w:type="paragraph" w:styleId="ab">
    <w:name w:val="List Paragraph"/>
    <w:basedOn w:val="a"/>
    <w:uiPriority w:val="34"/>
    <w:qFormat/>
    <w:pPr>
      <w:spacing w:line="240" w:lineRule="atLeast"/>
      <w:ind w:firstLineChars="200" w:firstLine="420"/>
    </w:pPr>
    <w:rPr>
      <w:rFonts w:ascii="Times New Roman" w:hAnsi="Times New Roman"/>
      <w:sz w:val="24"/>
      <w:szCs w:val="20"/>
    </w:rPr>
  </w:style>
  <w:style w:type="character" w:styleId="ac">
    <w:name w:val="footnote reference"/>
    <w:semiHidden/>
    <w:unhideWhenUsed/>
    <w:rPr>
      <w:vertAlign w:val="superscript"/>
    </w:rPr>
  </w:style>
  <w:style w:type="character" w:customStyle="1" w:styleId="13">
    <w:name w:val="页眉 字符1"/>
    <w:link w:val="a5"/>
    <w:uiPriority w:val="99"/>
    <w:locked/>
    <w:rPr>
      <w:sz w:val="18"/>
      <w:szCs w:val="18"/>
    </w:rPr>
  </w:style>
  <w:style w:type="character" w:customStyle="1" w:styleId="14">
    <w:name w:val="页脚 字符1"/>
    <w:link w:val="a7"/>
    <w:uiPriority w:val="99"/>
    <w:locked/>
    <w:rPr>
      <w:sz w:val="18"/>
      <w:szCs w:val="18"/>
    </w:rPr>
  </w:style>
  <w:style w:type="character" w:customStyle="1" w:styleId="15">
    <w:name w:val="批注框文本 字符1"/>
    <w:link w:val="a9"/>
    <w:uiPriority w:val="99"/>
    <w:semiHidden/>
    <w:locked/>
    <w:rPr>
      <w:rFonts w:ascii="Calibri" w:eastAsia="宋体" w:hAnsi="Calibri" w:cs="Times New Roman" w:hint="default"/>
      <w:sz w:val="18"/>
      <w:szCs w:val="18"/>
    </w:rPr>
  </w:style>
  <w:style w:type="character" w:customStyle="1" w:styleId="11">
    <w:name w:val="标题 1 字符1"/>
    <w:link w:val="1"/>
    <w:uiPriority w:val="9"/>
    <w:locked/>
    <w:rPr>
      <w:rFonts w:ascii="Calibri" w:eastAsia="宋体" w:hAnsi="Calibri" w:cs="Times New Roman" w:hint="default"/>
      <w:b/>
      <w:bCs/>
      <w:kern w:val="44"/>
      <w:sz w:val="44"/>
      <w:szCs w:val="44"/>
    </w:rPr>
  </w:style>
  <w:style w:type="character" w:customStyle="1" w:styleId="12">
    <w:name w:val="脚注文本 字符1"/>
    <w:link w:val="a3"/>
    <w:locked/>
    <w:rPr>
      <w:rFonts w:ascii="Times New Roman" w:eastAsia="宋体" w:hAnsi="Times New Roman" w:cs="Times New Roman" w:hint="default"/>
      <w:sz w:val="18"/>
      <w:szCs w:val="20"/>
    </w:rPr>
  </w:style>
  <w:style w:type="character" w:customStyle="1" w:styleId="Char">
    <w:name w:val="页眉 Char"/>
    <w:uiPriority w:val="99"/>
    <w:locked/>
    <w:rPr>
      <w:sz w:val="18"/>
      <w:szCs w:val="18"/>
    </w:rPr>
  </w:style>
  <w:style w:type="character" w:customStyle="1" w:styleId="Char0">
    <w:name w:val="页脚 Char"/>
    <w:uiPriority w:val="99"/>
    <w:locked/>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FF1B-7757-4613-A65E-A51B2E1F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1759</Characters>
  <Application>Microsoft Office Word</Application>
  <DocSecurity>4</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ZHONGM</cp:lastModifiedBy>
  <cp:revision>2</cp:revision>
  <dcterms:created xsi:type="dcterms:W3CDTF">2024-03-22T16:01:00Z</dcterms:created>
  <dcterms:modified xsi:type="dcterms:W3CDTF">2024-03-22T16:01:00Z</dcterms:modified>
</cp:coreProperties>
</file>