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44" w:rsidRDefault="00832444">
      <w:pPr>
        <w:pStyle w:val="biaogecenter"/>
        <w:rPr>
          <w:sz w:val="30"/>
          <w:szCs w:val="30"/>
        </w:rPr>
      </w:pPr>
      <w:r>
        <w:rPr>
          <w:rFonts w:hint="eastAsia"/>
          <w:b/>
          <w:bCs/>
          <w:sz w:val="30"/>
          <w:szCs w:val="30"/>
        </w:rPr>
        <w:t>浙商汇金短债债券型证券投资基金2024年第一次分红公告</w:t>
      </w:r>
    </w:p>
    <w:p w:rsidR="00832444" w:rsidRDefault="00832444">
      <w:pPr>
        <w:pStyle w:val="biaogecenter"/>
        <w:rPr>
          <w:rFonts w:hint="eastAsia"/>
        </w:rPr>
      </w:pPr>
    </w:p>
    <w:p w:rsidR="00832444" w:rsidRDefault="00832444">
      <w:pPr>
        <w:pStyle w:val="biaogecenter"/>
        <w:rPr>
          <w:rFonts w:hint="eastAsia"/>
        </w:rPr>
      </w:pPr>
      <w:r>
        <w:rPr>
          <w:rFonts w:hint="eastAsia"/>
        </w:rPr>
        <w:t>公告送出日期：2024年03月23日</w:t>
      </w:r>
    </w:p>
    <w:p w:rsidR="00832444" w:rsidRDefault="00832444">
      <w:pPr>
        <w:pStyle w:val="dazhangjie"/>
        <w:rPr>
          <w:rFonts w:hint="eastAsia"/>
        </w:rPr>
      </w:pPr>
      <w:r w:rsidRPr="006036B1">
        <w:rPr>
          <w:rFonts w:hAnsi="Calibri" w:hint="eastAsia"/>
          <w:b/>
          <w:color w:val="000000"/>
        </w:rPr>
        <w:t>1 公告基本信息</w:t>
      </w:r>
    </w:p>
    <w:p w:rsidR="00832444" w:rsidRDefault="00832444">
      <w:pPr>
        <w:widowControl/>
        <w:jc w:val="left"/>
        <w:rPr>
          <w:rFonts w:ascii="宋体" w:hAnsi="宋体" w:cs="宋体" w:hint="eastAsia"/>
          <w:kern w:val="0"/>
          <w:sz w:val="24"/>
          <w:szCs w:val="24"/>
        </w:rPr>
      </w:pPr>
    </w:p>
    <w:tbl>
      <w:tblPr>
        <w:tblW w:w="8250" w:type="dxa"/>
        <w:tblInd w:w="108" w:type="dxa"/>
        <w:tblLook w:val="04A0"/>
      </w:tblPr>
      <w:tblGrid>
        <w:gridCol w:w="1068"/>
        <w:gridCol w:w="2232"/>
        <w:gridCol w:w="1650"/>
        <w:gridCol w:w="1650"/>
        <w:gridCol w:w="1650"/>
      </w:tblGrid>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基金名称</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浙商汇金短债债券型证券投资基金</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基金简称</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浙商汇金短债</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基金主代码</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006516</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基金合同生效日</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2018年11月22日</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基金管理人名称</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浙江浙商证券资产管理有限公司</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基金托管人名称</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中国银行股份有限公司</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公告依据</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《公开募集证券投资基金信息披露管理办法》《浙商汇金短债债券型证券投资基金基金合同》《浙商汇金短债债券型证券投资基金招募说明书》等。</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收益分配基准日</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2024年03月18日</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有关年度分红次数的说明</w:t>
            </w:r>
          </w:p>
        </w:tc>
        <w:tc>
          <w:tcPr>
            <w:tcW w:w="3000" w:type="pct"/>
            <w:gridSpan w:val="3"/>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2024年第一次分红</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下属分级基金的基金简称</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浙商汇金短债A</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浙商汇金短债E</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浙商汇金短债C</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下属分级基金的交易代码</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006516</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006515</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019772</w:t>
            </w:r>
          </w:p>
        </w:tc>
      </w:tr>
      <w:tr w:rsidR="00832444" w:rsidRPr="006036B1" w:rsidTr="00AB7275">
        <w:tc>
          <w:tcPr>
            <w:tcW w:w="647" w:type="pct"/>
            <w:vMerge w:val="restar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截止基准日下属分级基金的相关指标</w:t>
            </w:r>
          </w:p>
        </w:tc>
        <w:tc>
          <w:tcPr>
            <w:tcW w:w="1353"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基准日下属分级基金份额净值（单位:人民币元）</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1.0309</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1.0363</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1.0503</w:t>
            </w:r>
          </w:p>
        </w:tc>
      </w:tr>
      <w:tr w:rsidR="00832444" w:rsidRPr="006036B1" w:rsidTr="00AB7275">
        <w:tc>
          <w:tcPr>
            <w:tcW w:w="647" w:type="pct"/>
            <w:vMerge/>
            <w:tcBorders>
              <w:top w:val="single" w:sz="8" w:space="0" w:color="000000"/>
              <w:left w:val="single" w:sz="8" w:space="0" w:color="000000"/>
              <w:bottom w:val="single" w:sz="6" w:space="0" w:color="000000"/>
              <w:right w:val="single" w:sz="8" w:space="0" w:color="000000"/>
            </w:tcBorders>
            <w:vAlign w:val="center"/>
            <w:hideMark/>
          </w:tcPr>
          <w:p w:rsidR="00832444" w:rsidRDefault="00832444">
            <w:pPr>
              <w:widowControl/>
              <w:jc w:val="left"/>
              <w:rPr>
                <w:rFonts w:ascii="宋体" w:hAnsi="宋体" w:cs="宋体"/>
                <w:kern w:val="0"/>
                <w:sz w:val="24"/>
                <w:szCs w:val="24"/>
              </w:rPr>
            </w:pPr>
          </w:p>
        </w:tc>
        <w:tc>
          <w:tcPr>
            <w:tcW w:w="1353"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基准日下属分级基金可供分配利润（单位:人民币元）</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24,925,473.05</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16,123,012.91</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10,959,720.69</w:t>
            </w:r>
          </w:p>
        </w:tc>
      </w:tr>
      <w:tr w:rsidR="00832444" w:rsidRPr="006036B1" w:rsidTr="00AB7275">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本次下属分级基金分红方案（单位:元/10份基金份额）</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0.1</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0.1</w:t>
            </w:r>
          </w:p>
        </w:tc>
        <w:tc>
          <w:tcPr>
            <w:tcW w:w="1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0.1</w:t>
            </w:r>
          </w:p>
        </w:tc>
      </w:tr>
    </w:tbl>
    <w:p w:rsidR="00832444" w:rsidRDefault="00832444">
      <w:pPr>
        <w:widowControl/>
        <w:jc w:val="left"/>
        <w:rPr>
          <w:rFonts w:ascii="宋体" w:hAnsi="宋体" w:cs="宋体" w:hint="eastAsia"/>
          <w:kern w:val="0"/>
          <w:sz w:val="24"/>
          <w:szCs w:val="24"/>
        </w:rPr>
      </w:pPr>
    </w:p>
    <w:p w:rsidR="00832444" w:rsidRDefault="00832444">
      <w:pPr>
        <w:pStyle w:val="dazhangjie"/>
        <w:divId w:val="142820073"/>
        <w:rPr>
          <w:rFonts w:hint="eastAsia"/>
        </w:rPr>
      </w:pPr>
      <w:r w:rsidRPr="006036B1">
        <w:rPr>
          <w:rFonts w:hAnsi="Calibri" w:hint="eastAsia"/>
          <w:b/>
          <w:color w:val="000000"/>
        </w:rPr>
        <w:t>2 与分红相关的其他信息</w:t>
      </w:r>
    </w:p>
    <w:p w:rsidR="00832444" w:rsidRDefault="00832444">
      <w:pPr>
        <w:widowControl/>
        <w:jc w:val="left"/>
        <w:divId w:val="142820073"/>
        <w:rPr>
          <w:rFonts w:ascii="宋体" w:hAnsi="宋体" w:cs="宋体" w:hint="eastAsia"/>
          <w:kern w:val="0"/>
          <w:sz w:val="24"/>
          <w:szCs w:val="24"/>
        </w:rPr>
      </w:pPr>
    </w:p>
    <w:tbl>
      <w:tblPr>
        <w:tblW w:w="8250" w:type="dxa"/>
        <w:tblInd w:w="108" w:type="dxa"/>
        <w:tblLook w:val="04A0"/>
      </w:tblPr>
      <w:tblGrid>
        <w:gridCol w:w="3300"/>
        <w:gridCol w:w="4950"/>
      </w:tblGrid>
      <w:tr w:rsidR="00832444" w:rsidRPr="006036B1">
        <w:trPr>
          <w:divId w:val="142820073"/>
        </w:trPr>
        <w:tc>
          <w:tcPr>
            <w:tcW w:w="2000" w:type="pct"/>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权益登记日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sidRPr="006036B1">
              <w:rPr>
                <w:rFonts w:hAnsi="Calibri" w:hint="eastAsia"/>
                <w:color w:val="000000"/>
              </w:rPr>
              <w:t>2024年03月26日</w:t>
            </w:r>
          </w:p>
        </w:tc>
      </w:tr>
      <w:tr w:rsidR="00AB7275" w:rsidRPr="006036B1" w:rsidTr="00231A15">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AB7275" w:rsidRDefault="00AB7275">
            <w:pPr>
              <w:pStyle w:val="biaogeleft"/>
              <w:wordWrap w:val="0"/>
            </w:pPr>
            <w:r>
              <w:rPr>
                <w:rFonts w:hint="eastAsia"/>
              </w:rPr>
              <w:t>除息日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AB7275" w:rsidRDefault="00AB7275" w:rsidP="00AB7275">
            <w:pPr>
              <w:pStyle w:val="biaogeleft"/>
              <w:wordWrap w:val="0"/>
            </w:pPr>
            <w:r w:rsidRPr="006036B1">
              <w:rPr>
                <w:rFonts w:hAnsi="Calibri" w:hint="eastAsia"/>
                <w:color w:val="000000"/>
              </w:rPr>
              <w:t>2024年03月26日</w:t>
            </w:r>
          </w:p>
        </w:tc>
      </w:tr>
      <w:tr w:rsidR="00832444" w:rsidRPr="006036B1">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lastRenderedPageBreak/>
              <w:t>现金红利发放日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sidRPr="006036B1">
              <w:rPr>
                <w:rFonts w:hAnsi="Calibri" w:hint="eastAsia"/>
                <w:color w:val="000000"/>
              </w:rPr>
              <w:t>2024年03月27日</w:t>
            </w:r>
          </w:p>
        </w:tc>
      </w:tr>
      <w:tr w:rsidR="00832444" w:rsidRPr="006036B1">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分红对象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sidRPr="006036B1">
              <w:rPr>
                <w:rFonts w:hAnsi="Calibri" w:hint="eastAsia"/>
                <w:color w:val="000000"/>
              </w:rPr>
              <w:t>权益登记日登记在册的本基金份额持有人</w:t>
            </w:r>
          </w:p>
        </w:tc>
      </w:tr>
      <w:tr w:rsidR="00832444" w:rsidRPr="006036B1">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红利再投资相关事项的说明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sidRPr="006036B1">
              <w:rPr>
                <w:rFonts w:hAnsi="Calibri" w:hint="eastAsia"/>
                <w:color w:val="000000"/>
              </w:rPr>
              <w:t>选择红利再投资方式的投资者由红利转得的基金份额将以2024年03月26日除息后的基金份额净值为计算基准确定，本公司对红利再投资所得的基金份额进行确认并通知各销售机构。2024年03月27日起投资者可以通过销售机构查询红利再投资的份额。</w:t>
            </w:r>
          </w:p>
        </w:tc>
      </w:tr>
      <w:tr w:rsidR="00832444" w:rsidRPr="006036B1">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税收相关事项的说明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根据财政部、国家税务总局的财税[2002]128号《财政部、国家税务总局关于开放式证券投资基金有关税收问题的通知》，基金向投资者分配的基金收益，暂免征收所得税。</w:t>
            </w:r>
          </w:p>
        </w:tc>
      </w:tr>
      <w:tr w:rsidR="00832444" w:rsidRPr="006036B1">
        <w:trPr>
          <w:divId w:val="142820073"/>
        </w:trPr>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费用相关事项的说明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32444" w:rsidRDefault="00832444">
            <w:pPr>
              <w:pStyle w:val="biaogeleft"/>
              <w:wordWrap w:val="0"/>
            </w:pPr>
            <w:r>
              <w:rPr>
                <w:rFonts w:hint="eastAsia"/>
              </w:rPr>
              <w:t>本基金本次分红免收分红手续费。选择红利再投资方式的投资者，其红利所折算的基金份额免收申购费等红利再投资费用。</w:t>
            </w:r>
          </w:p>
        </w:tc>
      </w:tr>
    </w:tbl>
    <w:p w:rsidR="00832444" w:rsidRDefault="00832444">
      <w:pPr>
        <w:widowControl/>
        <w:jc w:val="left"/>
        <w:rPr>
          <w:rFonts w:ascii="宋体" w:hAnsi="宋体" w:cs="宋体" w:hint="eastAsia"/>
          <w:kern w:val="0"/>
          <w:sz w:val="24"/>
          <w:szCs w:val="24"/>
        </w:rPr>
      </w:pPr>
    </w:p>
    <w:p w:rsidR="00832444" w:rsidRDefault="00832444">
      <w:pPr>
        <w:pStyle w:val="dazhangjie"/>
        <w:rPr>
          <w:rFonts w:hint="eastAsia"/>
        </w:rPr>
      </w:pPr>
      <w:r>
        <w:rPr>
          <w:rFonts w:hint="eastAsia"/>
          <w:b/>
          <w:bCs/>
        </w:rPr>
        <w:t>3 其他需要提示的事项</w:t>
      </w:r>
    </w:p>
    <w:p w:rsidR="00832444" w:rsidRDefault="00832444">
      <w:pPr>
        <w:pStyle w:val="neirong"/>
        <w:rPr>
          <w:rFonts w:hint="eastAsia"/>
        </w:rPr>
      </w:pPr>
      <w:r>
        <w:rPr>
          <w:rFonts w:hint="eastAsia"/>
        </w:rPr>
        <w:t>  （1）权益登记日申请申购的基金份额不享有本次分红权益，权益登记日申请赎回的基金份额享有本次分红权益。</w:t>
      </w:r>
      <w:r>
        <w:rPr>
          <w:rFonts w:hint="eastAsia"/>
        </w:rPr>
        <w:br/>
        <w:t>  （2）本基金分红方式分两种：现金红利和红利再投资，投资者可选择现金红利或将现金红利按除权日的基金份额净值自动转为基金份额进行再投资，对于未选择本基金具体分红方式的投资者，本基金默认的分红方式为现金分红。</w:t>
      </w:r>
      <w:r>
        <w:rPr>
          <w:rFonts w:hint="eastAsia"/>
        </w:rPr>
        <w:br/>
        <w:t>  （3）投资者可以在基金开放日的交易时间内到销售网点修改分红方式，本次分红确认的方式将按照投资者在权益登记日之前最后一次选择的分红方式为准。请投资者到销售网点或通过本公司客户服务中心确认分红方式是否正确，如不正确或希望修改分红方式的，请务必在规定时间前到销售网点办理变更手续。</w:t>
      </w:r>
      <w:r>
        <w:rPr>
          <w:rFonts w:hint="eastAsia"/>
        </w:rPr>
        <w:br/>
        <w:t>  （4）建议基金份额持有人在修改分红方式后，在T+2日（申请修改分红方式之日为T日）后（含T+2日）向销售网点或本公司确认分红方式的修改是否成功。</w:t>
      </w:r>
      <w:r>
        <w:rPr>
          <w:rFonts w:hint="eastAsia"/>
        </w:rPr>
        <w:br/>
        <w:t>  （5）投资者欲了解有关分红的情况，可到办理业务的当地销售网点查询，也可以登录本基金管理人网站（www.stocke.com.cn）查阅《浙商汇金短债债券型证券投资基金基金合同》和《浙商汇金短债债券型证券投资基金招募说明书》等资料。投资者亦可拨打本基金管理人的全国统一客户服务电话:95345垂询相关事宜。</w:t>
      </w:r>
      <w:r>
        <w:rPr>
          <w:rFonts w:hint="eastAsia"/>
        </w:rPr>
        <w:br/>
      </w:r>
      <w:r>
        <w:rPr>
          <w:rFonts w:hint="eastAsia"/>
        </w:rPr>
        <w:lastRenderedPageBreak/>
        <w:t>  风险提示：本公司承诺以诚实信用、勤勉尽责的原则管理和运用基金资产，但不保证基金一定盈利，也不保证最低收益。因基金分红导致基金份额净值变化，不会改变本基金的风险收益特征，也不会因此降低基金投资风险或提高基金投资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r>
        <w:rPr>
          <w:rFonts w:hint="eastAsia"/>
        </w:rPr>
        <w:br/>
        <w:t>          </w:t>
      </w:r>
      <w:r>
        <w:rPr>
          <w:rFonts w:hint="eastAsia"/>
        </w:rPr>
        <w:br/>
        <w:t>  特此公告。</w:t>
      </w:r>
    </w:p>
    <w:p w:rsidR="00832444" w:rsidRDefault="00832444">
      <w:pPr>
        <w:pStyle w:val="biaogeright"/>
        <w:rPr>
          <w:rFonts w:hint="eastAsia"/>
        </w:rPr>
      </w:pPr>
      <w:r w:rsidRPr="006036B1">
        <w:rPr>
          <w:rFonts w:hAnsi="Calibri" w:hint="eastAsia"/>
          <w:color w:val="000000"/>
        </w:rPr>
        <w:t>浙江浙商证券资产管理有限公司</w:t>
      </w:r>
    </w:p>
    <w:p w:rsidR="00832444" w:rsidRDefault="00832444">
      <w:pPr>
        <w:pStyle w:val="biaogeright"/>
        <w:rPr>
          <w:rFonts w:hint="eastAsia"/>
        </w:rPr>
      </w:pPr>
      <w:r w:rsidRPr="006036B1">
        <w:rPr>
          <w:rFonts w:hAnsi="Calibri" w:hint="eastAsia"/>
          <w:color w:val="000000"/>
        </w:rPr>
        <w:t>2024年03月23日</w:t>
      </w:r>
    </w:p>
    <w:sectPr w:rsidR="00832444">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15" w:rsidRDefault="00231A15" w:rsidP="006036B1">
      <w:r>
        <w:separator/>
      </w:r>
    </w:p>
  </w:endnote>
  <w:endnote w:type="continuationSeparator" w:id="0">
    <w:p w:rsidR="00231A15" w:rsidRDefault="00231A15" w:rsidP="00603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15" w:rsidRDefault="00231A15" w:rsidP="006036B1">
      <w:r>
        <w:separator/>
      </w:r>
    </w:p>
  </w:footnote>
  <w:footnote w:type="continuationSeparator" w:id="0">
    <w:p w:rsidR="00231A15" w:rsidRDefault="00231A15" w:rsidP="00603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6B1"/>
    <w:rsid w:val="00231A15"/>
    <w:rsid w:val="006036B1"/>
    <w:rsid w:val="00832444"/>
    <w:rsid w:val="00A86F8A"/>
    <w:rsid w:val="00AB7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82007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1455</Characters>
  <Application>Microsoft Office Word</Application>
  <DocSecurity>4</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ZHONGM</cp:lastModifiedBy>
  <cp:revision>2</cp:revision>
  <dcterms:created xsi:type="dcterms:W3CDTF">2024-03-22T16:01:00Z</dcterms:created>
  <dcterms:modified xsi:type="dcterms:W3CDTF">2024-03-22T16:01:00Z</dcterms:modified>
</cp:coreProperties>
</file>