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4" w:rsidRDefault="00304027" w:rsidP="00304027">
      <w:pPr>
        <w:jc w:val="center"/>
        <w:rPr>
          <w:rFonts w:ascii="宋体" w:eastAsia="宋体" w:hAnsi="宋体"/>
          <w:b/>
          <w:sz w:val="28"/>
          <w:szCs w:val="28"/>
        </w:rPr>
      </w:pPr>
      <w:r w:rsidRPr="00E75544">
        <w:rPr>
          <w:rFonts w:ascii="宋体" w:eastAsia="宋体" w:hAnsi="宋体" w:hint="eastAsia"/>
          <w:b/>
          <w:sz w:val="28"/>
          <w:szCs w:val="28"/>
        </w:rPr>
        <w:t>关于</w:t>
      </w:r>
      <w:r w:rsidR="00222F51" w:rsidRPr="00222F51">
        <w:rPr>
          <w:rFonts w:ascii="宋体" w:eastAsia="宋体" w:hAnsi="宋体" w:hint="eastAsia"/>
          <w:b/>
          <w:sz w:val="28"/>
          <w:szCs w:val="28"/>
        </w:rPr>
        <w:t>浦银安盛中证沪港深消费龙头交易型开放式指数证券投资基金</w:t>
      </w:r>
    </w:p>
    <w:p w:rsidR="00304027" w:rsidRPr="00E75544" w:rsidRDefault="0046497A" w:rsidP="00304027">
      <w:pPr>
        <w:jc w:val="center"/>
        <w:rPr>
          <w:rFonts w:ascii="宋体" w:eastAsia="宋体" w:hAnsi="宋体"/>
          <w:b/>
          <w:sz w:val="28"/>
          <w:szCs w:val="28"/>
        </w:rPr>
      </w:pPr>
      <w:r w:rsidRPr="00E75544">
        <w:rPr>
          <w:rFonts w:ascii="宋体" w:eastAsia="宋体" w:hAnsi="宋体" w:hint="eastAsia"/>
          <w:b/>
          <w:sz w:val="28"/>
          <w:szCs w:val="28"/>
        </w:rPr>
        <w:t>基金</w:t>
      </w:r>
      <w:r w:rsidRPr="00E75544">
        <w:rPr>
          <w:rFonts w:ascii="宋体" w:eastAsia="宋体" w:hAnsi="宋体"/>
          <w:b/>
          <w:sz w:val="28"/>
          <w:szCs w:val="28"/>
        </w:rPr>
        <w:t>份额持有人大会计票日开始</w:t>
      </w:r>
      <w:r w:rsidR="00304027" w:rsidRPr="00E75544">
        <w:rPr>
          <w:rFonts w:ascii="宋体" w:eastAsia="宋体" w:hAnsi="宋体" w:hint="eastAsia"/>
          <w:b/>
          <w:sz w:val="28"/>
          <w:szCs w:val="28"/>
        </w:rPr>
        <w:t>停牌</w:t>
      </w:r>
      <w:r w:rsidRPr="00E75544">
        <w:rPr>
          <w:rFonts w:ascii="宋体" w:eastAsia="宋体" w:hAnsi="宋体" w:hint="eastAsia"/>
          <w:b/>
          <w:sz w:val="28"/>
          <w:szCs w:val="28"/>
        </w:rPr>
        <w:t>及</w:t>
      </w:r>
      <w:r w:rsidRPr="00E75544">
        <w:rPr>
          <w:rFonts w:ascii="宋体" w:eastAsia="宋体" w:hAnsi="宋体"/>
          <w:b/>
          <w:sz w:val="28"/>
          <w:szCs w:val="28"/>
        </w:rPr>
        <w:t>暂停申购、赎回业务</w:t>
      </w:r>
      <w:r w:rsidR="00304027" w:rsidRPr="00E75544">
        <w:rPr>
          <w:rFonts w:ascii="宋体" w:eastAsia="宋体" w:hAnsi="宋体" w:hint="eastAsia"/>
          <w:b/>
          <w:sz w:val="28"/>
          <w:szCs w:val="28"/>
        </w:rPr>
        <w:t>的公告</w:t>
      </w:r>
    </w:p>
    <w:p w:rsidR="00304027" w:rsidRPr="00E75544" w:rsidRDefault="00304027" w:rsidP="0030402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6497A" w:rsidRPr="00E75544" w:rsidRDefault="00304027" w:rsidP="00304027">
      <w:pPr>
        <w:spacing w:line="360" w:lineRule="auto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 w:hint="eastAsia"/>
          <w:szCs w:val="21"/>
        </w:rPr>
        <w:t xml:space="preserve">   </w:t>
      </w:r>
      <w:r w:rsidR="00222F51" w:rsidRPr="00222F51">
        <w:rPr>
          <w:rFonts w:ascii="宋体" w:eastAsia="宋体" w:hAnsi="宋体" w:hint="eastAsia"/>
          <w:szCs w:val="21"/>
        </w:rPr>
        <w:t>浦银安盛中证沪港深消费龙头交易型开放式指数证券投资基金</w:t>
      </w:r>
      <w:r w:rsidRPr="00E75544">
        <w:rPr>
          <w:rFonts w:ascii="宋体" w:eastAsia="宋体" w:hAnsi="宋体" w:hint="eastAsia"/>
          <w:szCs w:val="21"/>
        </w:rPr>
        <w:t>（以下简称“本基金”，</w:t>
      </w:r>
      <w:r w:rsidR="00222F51" w:rsidRPr="00222F51">
        <w:rPr>
          <w:rFonts w:ascii="宋体" w:eastAsia="宋体" w:hAnsi="宋体" w:hint="eastAsia"/>
          <w:szCs w:val="21"/>
        </w:rPr>
        <w:t>基金代码：517760，基金简称：浦银安盛中证沪港深消费龙头ETF,场内简称：消费 TOP</w:t>
      </w:r>
      <w:r w:rsidRPr="00E75544">
        <w:rPr>
          <w:rFonts w:ascii="宋体" w:eastAsia="宋体" w:hAnsi="宋体"/>
          <w:szCs w:val="21"/>
        </w:rPr>
        <w:t>）</w:t>
      </w:r>
      <w:r w:rsidR="0046497A" w:rsidRPr="00E75544">
        <w:rPr>
          <w:rFonts w:ascii="宋体" w:eastAsia="宋体" w:hAnsi="宋体" w:hint="eastAsia"/>
          <w:szCs w:val="21"/>
        </w:rPr>
        <w:t>于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/>
          <w:szCs w:val="21"/>
        </w:rPr>
        <w:t>年</w:t>
      </w:r>
      <w:r w:rsidR="00222F51">
        <w:rPr>
          <w:rFonts w:ascii="宋体" w:eastAsia="宋体" w:hAnsi="宋体"/>
          <w:szCs w:val="21"/>
        </w:rPr>
        <w:t>2</w:t>
      </w:r>
      <w:r w:rsidR="00E75544">
        <w:rPr>
          <w:rFonts w:ascii="宋体" w:eastAsia="宋体" w:hAnsi="宋体" w:hint="eastAsia"/>
          <w:szCs w:val="21"/>
        </w:rPr>
        <w:t>月</w:t>
      </w:r>
      <w:r w:rsidR="00222F51">
        <w:rPr>
          <w:rFonts w:ascii="宋体" w:eastAsia="宋体" w:hAnsi="宋体"/>
          <w:szCs w:val="21"/>
        </w:rPr>
        <w:t>20</w:t>
      </w:r>
      <w:r w:rsidR="0046497A" w:rsidRPr="00E75544">
        <w:rPr>
          <w:rFonts w:ascii="宋体" w:eastAsia="宋体" w:hAnsi="宋体"/>
          <w:szCs w:val="21"/>
        </w:rPr>
        <w:t>日公布《</w:t>
      </w:r>
      <w:r w:rsidR="0046497A" w:rsidRPr="00E75544">
        <w:rPr>
          <w:rFonts w:ascii="宋体" w:eastAsia="宋体" w:hAnsi="宋体" w:hint="eastAsia"/>
          <w:szCs w:val="21"/>
        </w:rPr>
        <w:t>关于</w:t>
      </w:r>
      <w:r w:rsidR="00222F51" w:rsidRPr="00222F51">
        <w:rPr>
          <w:rFonts w:ascii="宋体" w:eastAsia="宋体" w:hAnsi="宋体" w:hint="eastAsia"/>
          <w:szCs w:val="21"/>
        </w:rPr>
        <w:t>浦银安盛中证沪港深消费龙头交易型开放式指数证券投资基金</w:t>
      </w:r>
      <w:r w:rsidR="0046497A" w:rsidRPr="00E75544">
        <w:rPr>
          <w:rFonts w:ascii="宋体" w:eastAsia="宋体" w:hAnsi="宋体" w:hint="eastAsia"/>
          <w:szCs w:val="21"/>
        </w:rPr>
        <w:t>以通讯方式召开基金份额持有人大会的公告》，</w:t>
      </w:r>
      <w:r w:rsidR="0046497A" w:rsidRPr="00E75544">
        <w:rPr>
          <w:rFonts w:ascii="宋体" w:eastAsia="宋体" w:hAnsi="宋体"/>
          <w:szCs w:val="21"/>
        </w:rPr>
        <w:t>于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/>
          <w:szCs w:val="21"/>
        </w:rPr>
        <w:t>年</w:t>
      </w:r>
      <w:r w:rsidR="00222F51">
        <w:rPr>
          <w:rFonts w:ascii="宋体" w:eastAsia="宋体" w:hAnsi="宋体"/>
          <w:szCs w:val="21"/>
        </w:rPr>
        <w:t>2</w:t>
      </w:r>
      <w:r w:rsidR="00222F51" w:rsidRPr="00E75544">
        <w:rPr>
          <w:rFonts w:ascii="宋体" w:eastAsia="宋体" w:hAnsi="宋体" w:hint="eastAsia"/>
          <w:szCs w:val="21"/>
        </w:rPr>
        <w:t>月</w:t>
      </w:r>
      <w:r w:rsidR="00222F51">
        <w:rPr>
          <w:rFonts w:ascii="宋体" w:eastAsia="宋体" w:hAnsi="宋体"/>
          <w:szCs w:val="21"/>
        </w:rPr>
        <w:t>24</w:t>
      </w:r>
      <w:r w:rsidRPr="00E75544">
        <w:rPr>
          <w:rFonts w:ascii="宋体" w:eastAsia="宋体" w:hAnsi="宋体" w:hint="eastAsia"/>
          <w:szCs w:val="21"/>
        </w:rPr>
        <w:t>日至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 w:hint="eastAsia"/>
          <w:szCs w:val="21"/>
        </w:rPr>
        <w:t>年</w:t>
      </w:r>
      <w:r w:rsidR="00222F51">
        <w:rPr>
          <w:rFonts w:ascii="宋体" w:eastAsia="宋体" w:hAnsi="宋体"/>
          <w:szCs w:val="21"/>
        </w:rPr>
        <w:t>3</w:t>
      </w:r>
      <w:r w:rsidR="00222F51" w:rsidRPr="00E75544">
        <w:rPr>
          <w:rFonts w:ascii="宋体" w:eastAsia="宋体" w:hAnsi="宋体" w:hint="eastAsia"/>
          <w:szCs w:val="21"/>
        </w:rPr>
        <w:t>月</w:t>
      </w:r>
      <w:r w:rsidR="00222F51">
        <w:rPr>
          <w:rFonts w:ascii="宋体" w:eastAsia="宋体" w:hAnsi="宋体"/>
          <w:szCs w:val="21"/>
        </w:rPr>
        <w:t>24</w:t>
      </w:r>
      <w:r w:rsidRPr="00E75544">
        <w:rPr>
          <w:rFonts w:ascii="宋体" w:eastAsia="宋体" w:hAnsi="宋体" w:hint="eastAsia"/>
          <w:szCs w:val="21"/>
        </w:rPr>
        <w:t>日</w:t>
      </w:r>
      <w:r w:rsidRPr="00E75544">
        <w:rPr>
          <w:rFonts w:ascii="宋体" w:eastAsia="宋体" w:hAnsi="宋体"/>
          <w:szCs w:val="21"/>
        </w:rPr>
        <w:t>17：00止以通讯方式召开基金份额持有人大会，审议《关于</w:t>
      </w:r>
      <w:r w:rsidR="00222F51" w:rsidRPr="00222F51">
        <w:rPr>
          <w:rFonts w:ascii="宋体" w:eastAsia="宋体" w:hAnsi="宋体" w:hint="eastAsia"/>
          <w:szCs w:val="21"/>
        </w:rPr>
        <w:t>浦银安盛中证沪港深消费龙头交易型开放式指数证券投资基金</w:t>
      </w:r>
      <w:r w:rsidRPr="00E75544">
        <w:rPr>
          <w:rFonts w:ascii="宋体" w:eastAsia="宋体" w:hAnsi="宋体" w:hint="eastAsia"/>
          <w:szCs w:val="21"/>
        </w:rPr>
        <w:t>终止基金合同并终止上市有关事项的议案》</w:t>
      </w:r>
      <w:r w:rsidR="0046497A" w:rsidRPr="00E75544">
        <w:rPr>
          <w:rFonts w:ascii="宋体" w:eastAsia="宋体" w:hAnsi="宋体" w:hint="eastAsia"/>
          <w:szCs w:val="21"/>
        </w:rPr>
        <w:t>（</w:t>
      </w:r>
      <w:r w:rsidR="0046497A" w:rsidRPr="00E75544">
        <w:rPr>
          <w:rFonts w:ascii="宋体" w:eastAsia="宋体" w:hAnsi="宋体"/>
          <w:szCs w:val="21"/>
        </w:rPr>
        <w:t>以下</w:t>
      </w:r>
      <w:r w:rsidR="0046497A" w:rsidRPr="00E75544">
        <w:rPr>
          <w:rFonts w:ascii="宋体" w:eastAsia="宋体" w:hAnsi="宋体" w:hint="eastAsia"/>
          <w:szCs w:val="21"/>
        </w:rPr>
        <w:t>简称</w:t>
      </w:r>
      <w:r w:rsidR="0046497A" w:rsidRPr="00E75544">
        <w:rPr>
          <w:rFonts w:ascii="宋体" w:eastAsia="宋体" w:hAnsi="宋体"/>
          <w:szCs w:val="21"/>
        </w:rPr>
        <w:t>“《议案》”），并</w:t>
      </w:r>
      <w:r w:rsidR="0046497A" w:rsidRPr="00E75544">
        <w:rPr>
          <w:rFonts w:ascii="宋体" w:eastAsia="宋体" w:hAnsi="宋体" w:hint="eastAsia"/>
          <w:szCs w:val="21"/>
        </w:rPr>
        <w:t>将</w:t>
      </w:r>
      <w:r w:rsidR="0046497A" w:rsidRPr="00E75544">
        <w:rPr>
          <w:rFonts w:ascii="宋体" w:eastAsia="宋体" w:hAnsi="宋体"/>
          <w:szCs w:val="21"/>
        </w:rPr>
        <w:t>于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/>
          <w:szCs w:val="21"/>
        </w:rPr>
        <w:t>年</w:t>
      </w:r>
      <w:r w:rsidR="00222F51">
        <w:rPr>
          <w:rFonts w:ascii="宋体" w:eastAsia="宋体" w:hAnsi="宋体"/>
          <w:szCs w:val="21"/>
        </w:rPr>
        <w:t>3</w:t>
      </w:r>
      <w:r w:rsidR="00222F51" w:rsidRPr="00E75544">
        <w:rPr>
          <w:rFonts w:ascii="宋体" w:eastAsia="宋体" w:hAnsi="宋体"/>
          <w:szCs w:val="21"/>
        </w:rPr>
        <w:t>月</w:t>
      </w:r>
      <w:r w:rsidR="00222F51">
        <w:rPr>
          <w:rFonts w:ascii="宋体" w:eastAsia="宋体" w:hAnsi="宋体"/>
          <w:szCs w:val="21"/>
        </w:rPr>
        <w:t>25</w:t>
      </w:r>
      <w:r w:rsidR="0046497A" w:rsidRPr="00E75544">
        <w:rPr>
          <w:rFonts w:ascii="宋体" w:eastAsia="宋体" w:hAnsi="宋体"/>
          <w:szCs w:val="21"/>
        </w:rPr>
        <w:t>日进行计票</w:t>
      </w:r>
      <w:r w:rsidR="0046497A" w:rsidRPr="00E75544">
        <w:rPr>
          <w:rFonts w:ascii="宋体" w:eastAsia="宋体" w:hAnsi="宋体" w:hint="eastAsia"/>
          <w:szCs w:val="21"/>
        </w:rPr>
        <w:t>。</w:t>
      </w:r>
    </w:p>
    <w:p w:rsidR="00304027" w:rsidRPr="00E75544" w:rsidRDefault="0046497A" w:rsidP="008231E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 w:hint="eastAsia"/>
          <w:szCs w:val="21"/>
        </w:rPr>
        <w:t>为了</w:t>
      </w:r>
      <w:r w:rsidRPr="00E75544">
        <w:rPr>
          <w:rFonts w:ascii="宋体" w:eastAsia="宋体" w:hAnsi="宋体"/>
          <w:szCs w:val="21"/>
        </w:rPr>
        <w:t>保护基金份额持有人的利益，加强交易风险警示，维护市场平稳，本基金将于</w:t>
      </w:r>
      <w:r w:rsidRPr="00E75544">
        <w:rPr>
          <w:rFonts w:ascii="宋体" w:eastAsia="宋体" w:hAnsi="宋体" w:hint="eastAsia"/>
          <w:szCs w:val="21"/>
        </w:rPr>
        <w:t>计票日</w:t>
      </w:r>
      <w:r w:rsidRPr="00E75544">
        <w:rPr>
          <w:rFonts w:ascii="宋体" w:eastAsia="宋体" w:hAnsi="宋体"/>
          <w:szCs w:val="21"/>
        </w:rPr>
        <w:t>（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 w:hint="eastAsia"/>
          <w:szCs w:val="21"/>
        </w:rPr>
        <w:t>年</w:t>
      </w:r>
      <w:r w:rsidR="00222F51">
        <w:rPr>
          <w:rFonts w:ascii="宋体" w:eastAsia="宋体" w:hAnsi="宋体"/>
          <w:szCs w:val="21"/>
        </w:rPr>
        <w:t>3</w:t>
      </w:r>
      <w:r w:rsidR="00222F51" w:rsidRPr="00E75544">
        <w:rPr>
          <w:rFonts w:ascii="宋体" w:eastAsia="宋体" w:hAnsi="宋体" w:hint="eastAsia"/>
          <w:szCs w:val="21"/>
        </w:rPr>
        <w:t>月</w:t>
      </w:r>
      <w:r w:rsidR="00222F51">
        <w:rPr>
          <w:rFonts w:ascii="宋体" w:eastAsia="宋体" w:hAnsi="宋体"/>
          <w:szCs w:val="21"/>
        </w:rPr>
        <w:t>25</w:t>
      </w:r>
      <w:r w:rsidRPr="00E75544">
        <w:rPr>
          <w:rFonts w:ascii="宋体" w:eastAsia="宋体" w:hAnsi="宋体" w:hint="eastAsia"/>
          <w:szCs w:val="21"/>
        </w:rPr>
        <w:t>日）</w:t>
      </w:r>
      <w:r w:rsidRPr="00E75544">
        <w:rPr>
          <w:rFonts w:ascii="宋体" w:eastAsia="宋体" w:hAnsi="宋体"/>
          <w:szCs w:val="21"/>
        </w:rPr>
        <w:t>当</w:t>
      </w:r>
      <w:r w:rsidRPr="00E75544">
        <w:rPr>
          <w:rFonts w:ascii="宋体" w:eastAsia="宋体" w:hAnsi="宋体" w:hint="eastAsia"/>
          <w:szCs w:val="21"/>
        </w:rPr>
        <w:t>日开市起</w:t>
      </w:r>
      <w:r w:rsidRPr="00E75544">
        <w:rPr>
          <w:rFonts w:ascii="宋体" w:eastAsia="宋体" w:hAnsi="宋体"/>
          <w:szCs w:val="21"/>
        </w:rPr>
        <w:t>停牌并暂停申购、赎回业务。</w:t>
      </w:r>
      <w:r w:rsidRPr="00E75544">
        <w:rPr>
          <w:rFonts w:ascii="宋体" w:eastAsia="宋体" w:hAnsi="宋体" w:hint="eastAsia"/>
          <w:szCs w:val="21"/>
        </w:rPr>
        <w:t>如</w:t>
      </w:r>
      <w:r w:rsidRPr="00E75544">
        <w:rPr>
          <w:rFonts w:ascii="宋体" w:eastAsia="宋体" w:hAnsi="宋体"/>
          <w:szCs w:val="21"/>
        </w:rPr>
        <w:t>本次基金份额持有人大会决议通过了《议案》，则本基金将不再复牌，也不再恢复申购、赎回业务；如本次基金份额持有人大会未能成功召集或者大会《议案》未获通过，本基金复牌及恢复申购、赎回业务的安排详见基金管理人届时发布的相关公告。</w:t>
      </w:r>
      <w:r w:rsidRPr="00E75544">
        <w:rPr>
          <w:rFonts w:ascii="宋体" w:eastAsia="宋体" w:hAnsi="宋体" w:hint="eastAsia"/>
          <w:szCs w:val="21"/>
        </w:rPr>
        <w:t>敬请投资者</w:t>
      </w:r>
      <w:r w:rsidRPr="00E75544">
        <w:rPr>
          <w:rFonts w:ascii="宋体" w:eastAsia="宋体" w:hAnsi="宋体"/>
          <w:szCs w:val="21"/>
        </w:rPr>
        <w:t>注意流动性风险。</w:t>
      </w:r>
      <w:r w:rsidR="00304027" w:rsidRPr="00E75544">
        <w:rPr>
          <w:rFonts w:ascii="宋体" w:eastAsia="宋体" w:hAnsi="宋体" w:hint="eastAsia"/>
          <w:szCs w:val="21"/>
        </w:rPr>
        <w:t>具体安排详见</w:t>
      </w:r>
      <w:r w:rsidR="00222F51" w:rsidRPr="00E75544">
        <w:rPr>
          <w:rFonts w:ascii="宋体" w:eastAsia="宋体" w:hAnsi="宋体"/>
          <w:szCs w:val="21"/>
        </w:rPr>
        <w:t>202</w:t>
      </w:r>
      <w:r w:rsidR="00222F51">
        <w:rPr>
          <w:rFonts w:ascii="宋体" w:eastAsia="宋体" w:hAnsi="宋体"/>
          <w:szCs w:val="21"/>
        </w:rPr>
        <w:t>4</w:t>
      </w:r>
      <w:r w:rsidR="00222F51" w:rsidRPr="00E75544">
        <w:rPr>
          <w:rFonts w:ascii="宋体" w:eastAsia="宋体" w:hAnsi="宋体"/>
          <w:szCs w:val="21"/>
        </w:rPr>
        <w:t>年</w:t>
      </w:r>
      <w:r w:rsidR="00222F51">
        <w:rPr>
          <w:rFonts w:ascii="宋体" w:eastAsia="宋体" w:hAnsi="宋体"/>
          <w:szCs w:val="21"/>
        </w:rPr>
        <w:t>2</w:t>
      </w:r>
      <w:r w:rsidR="00304027" w:rsidRPr="00E75544">
        <w:rPr>
          <w:rFonts w:ascii="宋体" w:eastAsia="宋体" w:hAnsi="宋体" w:hint="eastAsia"/>
          <w:szCs w:val="21"/>
        </w:rPr>
        <w:t>月</w:t>
      </w:r>
      <w:r w:rsidR="00222F51">
        <w:rPr>
          <w:rFonts w:ascii="宋体" w:eastAsia="宋体" w:hAnsi="宋体"/>
          <w:szCs w:val="21"/>
        </w:rPr>
        <w:t>20</w:t>
      </w:r>
      <w:r w:rsidR="00304027" w:rsidRPr="00E75544">
        <w:rPr>
          <w:rFonts w:ascii="宋体" w:eastAsia="宋体" w:hAnsi="宋体" w:hint="eastAsia"/>
          <w:szCs w:val="21"/>
        </w:rPr>
        <w:t>日在《</w:t>
      </w:r>
      <w:r w:rsidR="00222F51">
        <w:rPr>
          <w:rFonts w:ascii="宋体" w:eastAsia="宋体" w:hAnsi="宋体" w:hint="eastAsia"/>
          <w:szCs w:val="21"/>
        </w:rPr>
        <w:t>上海证券报</w:t>
      </w:r>
      <w:r w:rsidR="00304027" w:rsidRPr="00E75544">
        <w:rPr>
          <w:rFonts w:ascii="宋体" w:eastAsia="宋体" w:hAnsi="宋体" w:hint="eastAsia"/>
          <w:szCs w:val="21"/>
        </w:rPr>
        <w:t>》及浦银安盛基金管理有限公司官方网站（</w:t>
      </w:r>
      <w:r w:rsidR="00304027" w:rsidRPr="00E75544">
        <w:rPr>
          <w:rFonts w:ascii="宋体" w:eastAsia="宋体" w:hAnsi="宋体"/>
          <w:szCs w:val="21"/>
        </w:rPr>
        <w:t>http://www.py-axa.com）发布的《关于</w:t>
      </w:r>
      <w:r w:rsidR="00222F51" w:rsidRPr="00222F51">
        <w:rPr>
          <w:rFonts w:ascii="宋体" w:eastAsia="宋体" w:hAnsi="宋体" w:hint="eastAsia"/>
          <w:szCs w:val="21"/>
        </w:rPr>
        <w:t>浦银安盛中证沪港深消费龙头交易型开放式指数证券投资基金</w:t>
      </w:r>
      <w:r w:rsidR="00304027" w:rsidRPr="00E75544">
        <w:rPr>
          <w:rFonts w:ascii="宋体" w:eastAsia="宋体" w:hAnsi="宋体" w:hint="eastAsia"/>
          <w:szCs w:val="21"/>
        </w:rPr>
        <w:t>以通讯方式召开基金份额持有人大会的公告》。</w:t>
      </w:r>
    </w:p>
    <w:p w:rsidR="00304027" w:rsidRPr="00E75544" w:rsidRDefault="00304027" w:rsidP="00304027">
      <w:pPr>
        <w:spacing w:line="360" w:lineRule="auto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/>
          <w:szCs w:val="21"/>
        </w:rPr>
        <w:t xml:space="preserve">    投资者可通过以下途径咨询详情： </w:t>
      </w:r>
    </w:p>
    <w:p w:rsidR="00304027" w:rsidRPr="00E75544" w:rsidRDefault="00304027" w:rsidP="003040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 w:hint="eastAsia"/>
          <w:szCs w:val="21"/>
        </w:rPr>
        <w:t>浦银</w:t>
      </w:r>
      <w:r w:rsidRPr="00E75544">
        <w:rPr>
          <w:rFonts w:ascii="宋体" w:eastAsia="宋体" w:hAnsi="宋体"/>
          <w:szCs w:val="21"/>
        </w:rPr>
        <w:t>安盛</w:t>
      </w:r>
      <w:r w:rsidRPr="00E75544">
        <w:rPr>
          <w:rFonts w:ascii="宋体" w:eastAsia="宋体" w:hAnsi="宋体" w:hint="eastAsia"/>
          <w:szCs w:val="21"/>
        </w:rPr>
        <w:t>基金管理有限公司</w:t>
      </w:r>
      <w:r w:rsidRPr="00E75544">
        <w:rPr>
          <w:rFonts w:ascii="宋体" w:eastAsia="宋体" w:hAnsi="宋体"/>
          <w:szCs w:val="21"/>
        </w:rPr>
        <w:t xml:space="preserve"> </w:t>
      </w:r>
    </w:p>
    <w:p w:rsidR="00304027" w:rsidRPr="00E75544" w:rsidRDefault="00304027" w:rsidP="0030402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 w:hint="eastAsia"/>
          <w:szCs w:val="21"/>
        </w:rPr>
        <w:t>客户服务中心电话：</w:t>
      </w:r>
      <w:r w:rsidRPr="00E75544">
        <w:rPr>
          <w:rFonts w:ascii="宋体" w:eastAsia="宋体" w:hAnsi="宋体"/>
          <w:szCs w:val="21"/>
        </w:rPr>
        <w:t>400-8828999 、021-33079999</w:t>
      </w:r>
    </w:p>
    <w:p w:rsidR="00304027" w:rsidRPr="00E75544" w:rsidRDefault="00304027" w:rsidP="00304027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 w:rsidRPr="00E75544">
        <w:rPr>
          <w:rFonts w:ascii="宋体" w:eastAsia="宋体" w:hAnsi="宋体" w:hint="eastAsia"/>
          <w:szCs w:val="21"/>
        </w:rPr>
        <w:t>网址：</w:t>
      </w:r>
      <w:r w:rsidRPr="00E75544">
        <w:rPr>
          <w:rFonts w:ascii="宋体" w:eastAsia="宋体" w:hAnsi="宋体"/>
          <w:szCs w:val="21"/>
        </w:rPr>
        <w:t xml:space="preserve">www.py-axa.com </w:t>
      </w:r>
    </w:p>
    <w:p w:rsidR="00E75544" w:rsidRDefault="00E75544" w:rsidP="00304027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</w:p>
    <w:p w:rsidR="00304027" w:rsidRPr="00E75544" w:rsidRDefault="00304027" w:rsidP="00304027">
      <w:pPr>
        <w:spacing w:line="360" w:lineRule="auto"/>
        <w:ind w:firstLineChars="200" w:firstLine="422"/>
        <w:rPr>
          <w:rFonts w:ascii="宋体" w:eastAsia="宋体" w:hAnsi="宋体"/>
          <w:szCs w:val="21"/>
        </w:rPr>
      </w:pPr>
      <w:r w:rsidRPr="008231EC">
        <w:rPr>
          <w:rFonts w:ascii="宋体" w:eastAsia="宋体" w:hAnsi="宋体" w:hint="eastAsia"/>
          <w:b/>
          <w:szCs w:val="21"/>
        </w:rPr>
        <w:t>风险提示：</w:t>
      </w:r>
      <w:r w:rsidRPr="00E75544">
        <w:rPr>
          <w:rFonts w:ascii="宋体" w:eastAsia="宋体" w:hAnsi="宋体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304027" w:rsidRPr="00E75544" w:rsidRDefault="00304027" w:rsidP="00304027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</w:p>
    <w:p w:rsidR="00304027" w:rsidRPr="00E75544" w:rsidRDefault="00304027" w:rsidP="00304027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 w:hint="eastAsia"/>
          <w:szCs w:val="21"/>
        </w:rPr>
        <w:t>特此公告。</w:t>
      </w:r>
    </w:p>
    <w:p w:rsidR="00304027" w:rsidRPr="00E75544" w:rsidRDefault="00304027" w:rsidP="00304027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</w:p>
    <w:p w:rsidR="00304027" w:rsidRPr="00E75544" w:rsidRDefault="00304027" w:rsidP="00304027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/>
          <w:szCs w:val="21"/>
        </w:rPr>
        <w:t xml:space="preserve">               </w:t>
      </w:r>
      <w:r w:rsidRPr="00E75544">
        <w:rPr>
          <w:rFonts w:ascii="宋体" w:eastAsia="宋体" w:hAnsi="宋体" w:hint="eastAsia"/>
          <w:szCs w:val="21"/>
        </w:rPr>
        <w:t>浦银安盛基金管理有限公司</w:t>
      </w:r>
    </w:p>
    <w:p w:rsidR="00304027" w:rsidRPr="00E75544" w:rsidRDefault="00222F51" w:rsidP="00304027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E75544">
        <w:rPr>
          <w:rFonts w:ascii="宋体" w:eastAsia="宋体" w:hAnsi="宋体"/>
          <w:szCs w:val="21"/>
        </w:rPr>
        <w:t>202</w:t>
      </w:r>
      <w:r>
        <w:rPr>
          <w:rFonts w:ascii="宋体" w:eastAsia="宋体" w:hAnsi="宋体"/>
          <w:szCs w:val="21"/>
        </w:rPr>
        <w:t>4</w:t>
      </w:r>
      <w:r w:rsidRPr="00E75544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3</w:t>
      </w:r>
      <w:r w:rsidRPr="00E75544">
        <w:rPr>
          <w:rFonts w:ascii="宋体" w:eastAsia="宋体" w:hAnsi="宋体" w:hint="eastAsia"/>
          <w:szCs w:val="21"/>
        </w:rPr>
        <w:t>月</w:t>
      </w:r>
      <w:r w:rsidR="005E2B8E">
        <w:rPr>
          <w:rFonts w:ascii="宋体" w:eastAsia="宋体" w:hAnsi="宋体"/>
          <w:szCs w:val="21"/>
        </w:rPr>
        <w:t>23</w:t>
      </w:r>
      <w:r w:rsidR="00304027" w:rsidRPr="00E75544">
        <w:rPr>
          <w:rFonts w:ascii="宋体" w:eastAsia="宋体" w:hAnsi="宋体" w:hint="eastAsia"/>
          <w:szCs w:val="21"/>
        </w:rPr>
        <w:t>日</w:t>
      </w:r>
    </w:p>
    <w:p w:rsidR="00074FD5" w:rsidRPr="00E75544" w:rsidRDefault="00074FD5" w:rsidP="00A42D12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bookmarkStart w:id="0" w:name="_GoBack"/>
      <w:bookmarkEnd w:id="0"/>
    </w:p>
    <w:sectPr w:rsidR="00074FD5" w:rsidRPr="00E75544" w:rsidSect="00074FD5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5E" w:rsidRDefault="0095685E" w:rsidP="00074FD5">
      <w:r>
        <w:separator/>
      </w:r>
    </w:p>
  </w:endnote>
  <w:endnote w:type="continuationSeparator" w:id="0">
    <w:p w:rsidR="0095685E" w:rsidRDefault="0095685E" w:rsidP="0007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5E" w:rsidRDefault="0095685E" w:rsidP="00074FD5">
      <w:r>
        <w:separator/>
      </w:r>
    </w:p>
  </w:footnote>
  <w:footnote w:type="continuationSeparator" w:id="0">
    <w:p w:rsidR="0095685E" w:rsidRDefault="0095685E" w:rsidP="0007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F0"/>
    <w:rsid w:val="00074FD5"/>
    <w:rsid w:val="00105E14"/>
    <w:rsid w:val="001D18BA"/>
    <w:rsid w:val="00222F51"/>
    <w:rsid w:val="002575A1"/>
    <w:rsid w:val="002E00F9"/>
    <w:rsid w:val="00304027"/>
    <w:rsid w:val="003842E1"/>
    <w:rsid w:val="003F79F0"/>
    <w:rsid w:val="0046497A"/>
    <w:rsid w:val="004A6A7E"/>
    <w:rsid w:val="00527C19"/>
    <w:rsid w:val="0053069C"/>
    <w:rsid w:val="005777A3"/>
    <w:rsid w:val="005B0086"/>
    <w:rsid w:val="005E2B8E"/>
    <w:rsid w:val="006122DA"/>
    <w:rsid w:val="00614BD6"/>
    <w:rsid w:val="0062186E"/>
    <w:rsid w:val="006F5EE2"/>
    <w:rsid w:val="00794387"/>
    <w:rsid w:val="007A0B45"/>
    <w:rsid w:val="008231EC"/>
    <w:rsid w:val="00885EDD"/>
    <w:rsid w:val="008A070B"/>
    <w:rsid w:val="008A756C"/>
    <w:rsid w:val="008C485E"/>
    <w:rsid w:val="008E6255"/>
    <w:rsid w:val="00903126"/>
    <w:rsid w:val="0095685E"/>
    <w:rsid w:val="00A42D12"/>
    <w:rsid w:val="00AD5B0B"/>
    <w:rsid w:val="00BF68D8"/>
    <w:rsid w:val="00C836F0"/>
    <w:rsid w:val="00C95ACB"/>
    <w:rsid w:val="00CB18A5"/>
    <w:rsid w:val="00CF626E"/>
    <w:rsid w:val="00D130E1"/>
    <w:rsid w:val="00D50885"/>
    <w:rsid w:val="00D71990"/>
    <w:rsid w:val="00DC14D8"/>
    <w:rsid w:val="00DE2635"/>
    <w:rsid w:val="00DF72CC"/>
    <w:rsid w:val="00E12A2B"/>
    <w:rsid w:val="00E562D0"/>
    <w:rsid w:val="00E75544"/>
    <w:rsid w:val="00E902A2"/>
    <w:rsid w:val="00E959A5"/>
    <w:rsid w:val="00ED4391"/>
    <w:rsid w:val="00FC628A"/>
    <w:rsid w:val="00F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F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1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张欣立</dc:creator>
  <cp:lastModifiedBy>ZHONGM</cp:lastModifiedBy>
  <cp:revision>2</cp:revision>
  <dcterms:created xsi:type="dcterms:W3CDTF">2024-03-22T16:01:00Z</dcterms:created>
  <dcterms:modified xsi:type="dcterms:W3CDTF">2024-03-22T16:01:00Z</dcterms:modified>
</cp:coreProperties>
</file>