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C7" w:rsidRDefault="00C916DE">
      <w:pPr>
        <w:jc w:val="center"/>
        <w:rPr>
          <w:sz w:val="48"/>
          <w:szCs w:val="48"/>
          <w:lang w:eastAsia="zh-CN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sz w:val="48"/>
          <w:szCs w:val="48"/>
          <w:lang w:eastAsia="zh-CN"/>
        </w:rPr>
        <w:t> </w:t>
      </w:r>
    </w:p>
    <w:p w:rsidR="00BD41C7" w:rsidRDefault="00C916DE">
      <w:pPr>
        <w:jc w:val="center"/>
        <w:rPr>
          <w:sz w:val="48"/>
          <w:szCs w:val="48"/>
          <w:lang w:eastAsia="zh-CN"/>
        </w:rPr>
      </w:pPr>
      <w:r>
        <w:rPr>
          <w:rFonts w:ascii="宋体" w:eastAsia="宋体" w:hAnsi="宋体" w:cs="宋体"/>
          <w:b/>
          <w:bCs/>
          <w:sz w:val="48"/>
          <w:szCs w:val="48"/>
          <w:lang w:eastAsia="zh-CN"/>
        </w:rPr>
        <w:t>鹏华丰源债券型证券投资基金恢复大额申购、转换转入和定期定额投资业务的公告</w:t>
      </w:r>
    </w:p>
    <w:p w:rsidR="00BD41C7" w:rsidRDefault="00C916DE">
      <w:pPr>
        <w:jc w:val="center"/>
        <w:rPr>
          <w:sz w:val="30"/>
          <w:szCs w:val="30"/>
          <w:lang w:eastAsia="zh-CN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 </w:t>
      </w:r>
    </w:p>
    <w:p w:rsidR="00BD41C7" w:rsidRDefault="00C916DE">
      <w:pPr>
        <w:jc w:val="center"/>
        <w:rPr>
          <w:sz w:val="30"/>
          <w:szCs w:val="30"/>
          <w:lang w:eastAsia="zh-CN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 </w:t>
      </w:r>
    </w:p>
    <w:p w:rsidR="00BD41C7" w:rsidRDefault="00C916DE">
      <w:pPr>
        <w:jc w:val="center"/>
        <w:rPr>
          <w:sz w:val="30"/>
          <w:szCs w:val="30"/>
          <w:lang w:eastAsia="zh-CN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 </w:t>
      </w:r>
    </w:p>
    <w:p w:rsidR="00BD41C7" w:rsidRDefault="00C916DE">
      <w:pPr>
        <w:jc w:val="center"/>
        <w:rPr>
          <w:sz w:val="30"/>
          <w:szCs w:val="30"/>
          <w:lang w:eastAsia="zh-CN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 </w:t>
      </w:r>
    </w:p>
    <w:p w:rsidR="00BD41C7" w:rsidRDefault="00C916DE">
      <w:pPr>
        <w:jc w:val="center"/>
        <w:rPr>
          <w:sz w:val="30"/>
          <w:szCs w:val="30"/>
          <w:lang w:eastAsia="zh-CN"/>
        </w:rPr>
      </w:pPr>
      <w:r>
        <w:rPr>
          <w:rFonts w:ascii="宋体" w:eastAsia="宋体" w:hAnsi="宋体" w:cs="宋体"/>
          <w:sz w:val="30"/>
          <w:szCs w:val="30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BD41C7">
      <w:pPr>
        <w:jc w:val="both"/>
        <w:rPr>
          <w:lang w:eastAsia="zh-CN"/>
        </w:rPr>
      </w:pPr>
    </w:p>
    <w:p w:rsidR="00BD41C7" w:rsidRDefault="00BD41C7">
      <w:pPr>
        <w:jc w:val="both"/>
        <w:rPr>
          <w:lang w:eastAsia="zh-CN"/>
        </w:rPr>
      </w:pPr>
    </w:p>
    <w:p w:rsidR="00BD41C7" w:rsidRDefault="00BD41C7">
      <w:pPr>
        <w:jc w:val="both"/>
        <w:rPr>
          <w:lang w:eastAsia="zh-CN"/>
        </w:rPr>
      </w:pPr>
    </w:p>
    <w:p w:rsidR="00BD41C7" w:rsidRDefault="00BD41C7">
      <w:pPr>
        <w:jc w:val="both"/>
        <w:rPr>
          <w:lang w:eastAsia="zh-CN"/>
        </w:rPr>
      </w:pPr>
    </w:p>
    <w:p w:rsidR="00BD41C7" w:rsidRDefault="00BD41C7">
      <w:pPr>
        <w:jc w:val="both"/>
        <w:rPr>
          <w:lang w:eastAsia="zh-CN"/>
        </w:rPr>
      </w:pPr>
    </w:p>
    <w:p w:rsidR="00BD41C7" w:rsidRDefault="00BD41C7">
      <w:pPr>
        <w:jc w:val="both"/>
        <w:rPr>
          <w:lang w:eastAsia="zh-CN"/>
        </w:rPr>
      </w:pPr>
    </w:p>
    <w:p w:rsidR="00BD41C7" w:rsidRDefault="00C916DE">
      <w:pPr>
        <w:jc w:val="both"/>
        <w:rPr>
          <w:lang w:eastAsia="zh-CN"/>
        </w:rPr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center"/>
        <w:rPr>
          <w:sz w:val="28"/>
          <w:szCs w:val="28"/>
        </w:rPr>
      </w:pPr>
      <w:r>
        <w:rPr>
          <w:rFonts w:ascii="宋体" w:eastAsia="宋体" w:hAnsi="宋体" w:cs="宋体"/>
          <w:b/>
          <w:bCs/>
          <w:sz w:val="28"/>
          <w:szCs w:val="28"/>
          <w:lang w:eastAsia="zh-CN"/>
        </w:rPr>
        <w:t>公告送出日期：2024年03月22日</w:t>
      </w:r>
    </w:p>
    <w:p w:rsidR="00BD41C7" w:rsidRDefault="00C916DE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</w:pPr>
      <w:r>
        <w:rPr>
          <w:rFonts w:ascii="Calibri" w:eastAsia="Calibri" w:hAnsi="Calibri" w:cs="Calibri"/>
          <w:lang w:eastAsia="zh-CN"/>
        </w:rPr>
        <w:t> </w:t>
      </w:r>
    </w:p>
    <w:p w:rsidR="00BD41C7" w:rsidRDefault="00C916DE">
      <w:pPr>
        <w:jc w:val="both"/>
      </w:pPr>
      <w:r>
        <w:rPr>
          <w:rFonts w:eastAsia="Times New Roman"/>
          <w:lang w:eastAsia="zh-CN"/>
        </w:rPr>
        <w:t> </w:t>
      </w:r>
    </w:p>
    <w:p w:rsidR="00BD41C7" w:rsidRDefault="00C916DE">
      <w:pPr>
        <w:jc w:val="both"/>
      </w:pPr>
      <w:r>
        <w:rPr>
          <w:rFonts w:eastAsia="Times New Roman"/>
          <w:lang w:eastAsia="zh-CN"/>
        </w:rPr>
        <w:t> </w:t>
      </w:r>
    </w:p>
    <w:p w:rsidR="00BD41C7" w:rsidRDefault="00C916DE">
      <w:pPr>
        <w:jc w:val="both"/>
      </w:pPr>
      <w:r>
        <w:rPr>
          <w:rFonts w:eastAsia="Times New Roman"/>
          <w:lang w:eastAsia="zh-CN"/>
        </w:rPr>
        <w:t> </w:t>
      </w:r>
    </w:p>
    <w:p w:rsidR="00BD41C7" w:rsidRDefault="00C916DE">
      <w:pPr>
        <w:jc w:val="both"/>
      </w:pPr>
      <w:r>
        <w:rPr>
          <w:rFonts w:ascii="宋体" w:eastAsia="宋体" w:hAnsi="宋体" w:cs="宋体"/>
          <w:b/>
          <w:bCs/>
          <w:lang w:eastAsia="zh-CN"/>
        </w:rPr>
        <w:lastRenderedPageBreak/>
        <w:t>1 公告基本信息</w:t>
      </w:r>
    </w:p>
    <w:tbl>
      <w:tblPr>
        <w:tblW w:w="0" w:type="auto"/>
        <w:tblInd w:w="226" w:type="dxa"/>
        <w:tblCellMar>
          <w:left w:w="0" w:type="dxa"/>
          <w:right w:w="0" w:type="dxa"/>
        </w:tblCellMar>
        <w:tblLook w:val="04A0"/>
      </w:tblPr>
      <w:tblGrid>
        <w:gridCol w:w="3001"/>
        <w:gridCol w:w="5295"/>
      </w:tblGrid>
      <w:tr w:rsidR="00BD41C7" w:rsidTr="006B3587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基金名称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鹏华丰源债券型证券投资基金</w:t>
            </w:r>
          </w:p>
        </w:tc>
      </w:tr>
      <w:tr w:rsidR="00BD41C7" w:rsidTr="006B3587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基金简称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鹏华丰源债券</w:t>
            </w:r>
          </w:p>
        </w:tc>
      </w:tr>
      <w:tr w:rsidR="00BD41C7" w:rsidTr="006B3587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基金主代码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004498</w:t>
            </w:r>
          </w:p>
        </w:tc>
      </w:tr>
      <w:tr w:rsidR="00BD41C7" w:rsidTr="006B3587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基金管理人名称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鹏华基金管理有限公司</w:t>
            </w:r>
          </w:p>
        </w:tc>
      </w:tr>
      <w:tr w:rsidR="00BD41C7" w:rsidTr="006B3587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公告依据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《鹏华丰源债券型证券投资基金基金合同》（以下简称“基金合同”）、《鹏华丰源债券型证券投资基金招募说明书》及其更新（以下简称“招募说明书”）</w:t>
            </w:r>
          </w:p>
        </w:tc>
      </w:tr>
      <w:tr w:rsidR="00BD41C7" w:rsidTr="006B3587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恢复大额申购起始日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2024年03月25日</w:t>
            </w:r>
          </w:p>
        </w:tc>
      </w:tr>
      <w:tr w:rsidR="00BD41C7" w:rsidTr="006B3587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恢复大额转换转入起始日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2024年03月25日</w:t>
            </w:r>
          </w:p>
        </w:tc>
      </w:tr>
      <w:tr w:rsidR="00BD41C7" w:rsidTr="006B3587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恢复大额定期定额投资起始日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2024年03月25日</w:t>
            </w:r>
          </w:p>
        </w:tc>
      </w:tr>
      <w:tr w:rsidR="00BD41C7" w:rsidTr="006B3587">
        <w:tc>
          <w:tcPr>
            <w:tcW w:w="30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恢复大额申购（转换转入、定期定额投资）的原因说明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" w:type="dxa"/>
              <w:left w:w="108" w:type="dxa"/>
              <w:bottom w:w="10" w:type="dxa"/>
              <w:right w:w="108" w:type="dxa"/>
            </w:tcMar>
            <w:hideMark/>
          </w:tcPr>
          <w:p w:rsidR="00BD41C7" w:rsidRDefault="00C916DE" w:rsidP="006B3587">
            <w:pPr>
              <w:widowControl w:val="0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满足投资者的投资需求</w:t>
            </w:r>
          </w:p>
        </w:tc>
      </w:tr>
    </w:tbl>
    <w:p w:rsidR="006B3587" w:rsidRDefault="006B3587">
      <w:pPr>
        <w:rPr>
          <w:rFonts w:ascii="宋体" w:eastAsia="宋体" w:hAnsi="宋体" w:cs="宋体"/>
          <w:b/>
          <w:bCs/>
          <w:lang w:eastAsia="zh-CN"/>
        </w:rPr>
      </w:pPr>
    </w:p>
    <w:p w:rsidR="00BD41C7" w:rsidRDefault="00C916DE">
      <w:pPr>
        <w:rPr>
          <w:lang w:eastAsia="zh-CN"/>
        </w:rPr>
      </w:pPr>
      <w:r>
        <w:rPr>
          <w:rFonts w:ascii="宋体" w:eastAsia="宋体" w:hAnsi="宋体" w:cs="宋体"/>
          <w:b/>
          <w:bCs/>
          <w:lang w:eastAsia="zh-CN"/>
        </w:rPr>
        <w:t>2 其他需要提示的事项</w:t>
      </w:r>
    </w:p>
    <w:p w:rsidR="00BD41C7" w:rsidRPr="006B3587" w:rsidRDefault="00C916DE">
      <w:pPr>
        <w:spacing w:line="360" w:lineRule="auto"/>
        <w:ind w:firstLine="420"/>
        <w:jc w:val="both"/>
        <w:rPr>
          <w:rFonts w:asciiTheme="minorEastAsia" w:hAnsiTheme="minorEastAsia" w:cs="宋体"/>
          <w:sz w:val="21"/>
          <w:szCs w:val="21"/>
          <w:lang w:eastAsia="zh-CN"/>
        </w:rPr>
      </w:pPr>
      <w:r w:rsidRPr="006B3587">
        <w:rPr>
          <w:rFonts w:asciiTheme="minorEastAsia" w:hAnsiTheme="minorEastAsia" w:cs="宋体"/>
          <w:sz w:val="21"/>
          <w:szCs w:val="21"/>
          <w:lang w:eastAsia="zh-CN"/>
        </w:rPr>
        <w:t>（1）鹏华基金管理有限公司（以下简称“本公司”)决定自2024年03月25日起恢复办理鹏华丰源债券型证券投资基金（以下简称“本基金”）的大额申购、转换转入、定期定额投资业务，取消自2024年03月21日起本基金单日单个基金账户累计申购、转换转入、定期定额投资金额限额为人民币100万元的限制。</w:t>
      </w:r>
    </w:p>
    <w:p w:rsidR="00BD41C7" w:rsidRPr="006B3587" w:rsidRDefault="00C916DE">
      <w:pPr>
        <w:spacing w:line="360" w:lineRule="auto"/>
        <w:ind w:firstLine="420"/>
        <w:jc w:val="both"/>
        <w:rPr>
          <w:rFonts w:asciiTheme="minorEastAsia" w:hAnsiTheme="minorEastAsia" w:cs="宋体"/>
          <w:sz w:val="21"/>
          <w:szCs w:val="21"/>
        </w:rPr>
      </w:pPr>
      <w:r w:rsidRPr="006B3587">
        <w:rPr>
          <w:rFonts w:asciiTheme="minorEastAsia" w:hAnsiTheme="minorEastAsia" w:cs="宋体"/>
          <w:sz w:val="21"/>
          <w:szCs w:val="21"/>
          <w:lang w:eastAsia="zh-CN"/>
        </w:rPr>
        <w:t>（2）投资者可登录本基金管理人网站（www.phfund.com.cn），或拨打客户服务电话（400-6788-533）咨询相关信息。</w:t>
      </w:r>
    </w:p>
    <w:p w:rsidR="00BD41C7" w:rsidRPr="006B3587" w:rsidRDefault="00C916DE">
      <w:pPr>
        <w:spacing w:line="360" w:lineRule="auto"/>
        <w:jc w:val="both"/>
        <w:rPr>
          <w:rFonts w:asciiTheme="minorEastAsia" w:hAnsiTheme="minorEastAsia" w:cs="宋体"/>
          <w:sz w:val="21"/>
          <w:szCs w:val="21"/>
        </w:rPr>
      </w:pPr>
      <w:r w:rsidRPr="006B3587">
        <w:rPr>
          <w:rFonts w:asciiTheme="minorEastAsia" w:hAnsiTheme="minorEastAsia" w:cs="宋体"/>
          <w:sz w:val="21"/>
          <w:szCs w:val="21"/>
          <w:lang w:eastAsia="zh-CN"/>
        </w:rPr>
        <w:t> </w:t>
      </w:r>
    </w:p>
    <w:p w:rsidR="00BD41C7" w:rsidRPr="006B3587" w:rsidRDefault="00C916DE">
      <w:pPr>
        <w:spacing w:line="360" w:lineRule="auto"/>
        <w:ind w:firstLine="42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B3587">
        <w:rPr>
          <w:rFonts w:asciiTheme="minorEastAsia" w:hAnsiTheme="minorEastAsia" w:cs="宋体"/>
          <w:sz w:val="21"/>
          <w:szCs w:val="21"/>
          <w:lang w:eastAsia="zh-CN"/>
        </w:rPr>
        <w:t>风险提示：本公司承诺以诚实信用、勤勉尽责的原则管理和运用基金资产，但不保证基金一定盈利，也不保证最低收益，敬请投资者注意投资风险。定期定额投资是引导投资人进行长期投资、平均投资成本的一种简单易行的投资方式。但是定期定额投资并不能规避基金投资所固有的风险，不能保证投资人获得收益，也不是替代储蓄的等效理财方式。投资者投资于本基金前应认真阅读基金的基金合同、招募说明书（更新）、基金产品资料概要（更新）等文件，并根据自身风险承受能力选择适合自己的基金产品。</w:t>
      </w:r>
    </w:p>
    <w:p w:rsidR="00BD41C7" w:rsidRPr="006B3587" w:rsidRDefault="00C916DE">
      <w:pPr>
        <w:spacing w:line="360" w:lineRule="auto"/>
        <w:ind w:firstLine="420"/>
        <w:jc w:val="both"/>
        <w:rPr>
          <w:rFonts w:asciiTheme="minorEastAsia" w:hAnsiTheme="minorEastAsia"/>
          <w:sz w:val="21"/>
          <w:szCs w:val="21"/>
          <w:lang w:eastAsia="zh-CN"/>
        </w:rPr>
      </w:pPr>
      <w:r w:rsidRPr="006B3587">
        <w:rPr>
          <w:rFonts w:asciiTheme="minorEastAsia" w:hAnsiTheme="minorEastAsia" w:cs="宋体"/>
          <w:sz w:val="21"/>
          <w:szCs w:val="21"/>
          <w:lang w:eastAsia="zh-CN"/>
        </w:rPr>
        <w:t>特此公告。</w:t>
      </w:r>
    </w:p>
    <w:p w:rsidR="00BD41C7" w:rsidRPr="006B3587" w:rsidRDefault="00C916DE">
      <w:pPr>
        <w:spacing w:line="360" w:lineRule="auto"/>
        <w:jc w:val="right"/>
        <w:rPr>
          <w:rFonts w:asciiTheme="minorEastAsia" w:hAnsiTheme="minorEastAsia"/>
          <w:sz w:val="21"/>
          <w:szCs w:val="21"/>
          <w:lang w:eastAsia="zh-CN"/>
        </w:rPr>
      </w:pPr>
      <w:r w:rsidRPr="006B3587">
        <w:rPr>
          <w:rFonts w:asciiTheme="minorEastAsia" w:hAnsiTheme="minorEastAsia" w:cs="宋体"/>
          <w:sz w:val="21"/>
          <w:szCs w:val="21"/>
          <w:lang w:eastAsia="zh-CN"/>
        </w:rPr>
        <w:t>鹏华基金管理有限公司</w:t>
      </w:r>
    </w:p>
    <w:p w:rsidR="00BD41C7" w:rsidRPr="006B3587" w:rsidRDefault="00C916DE">
      <w:pPr>
        <w:spacing w:line="360" w:lineRule="auto"/>
        <w:jc w:val="right"/>
        <w:rPr>
          <w:rFonts w:asciiTheme="minorEastAsia" w:hAnsiTheme="minorEastAsia"/>
          <w:sz w:val="21"/>
          <w:szCs w:val="21"/>
        </w:rPr>
      </w:pPr>
      <w:r w:rsidRPr="006B3587">
        <w:rPr>
          <w:rFonts w:asciiTheme="minorEastAsia" w:hAnsiTheme="minorEastAsia"/>
          <w:sz w:val="21"/>
          <w:szCs w:val="21"/>
          <w:lang w:eastAsia="zh-CN"/>
        </w:rPr>
        <w:t>2024</w:t>
      </w:r>
      <w:r w:rsidRPr="006B3587">
        <w:rPr>
          <w:rFonts w:asciiTheme="minorEastAsia" w:hAnsiTheme="minorEastAsia" w:cs="宋体"/>
          <w:sz w:val="21"/>
          <w:szCs w:val="21"/>
          <w:lang w:eastAsia="zh-CN"/>
        </w:rPr>
        <w:t>年</w:t>
      </w:r>
      <w:r w:rsidRPr="006B3587">
        <w:rPr>
          <w:rFonts w:asciiTheme="minorEastAsia" w:hAnsiTheme="minorEastAsia"/>
          <w:sz w:val="21"/>
          <w:szCs w:val="21"/>
          <w:lang w:eastAsia="zh-CN"/>
        </w:rPr>
        <w:t>03</w:t>
      </w:r>
      <w:r w:rsidRPr="006B3587">
        <w:rPr>
          <w:rFonts w:asciiTheme="minorEastAsia" w:hAnsiTheme="minorEastAsia" w:cs="宋体"/>
          <w:sz w:val="21"/>
          <w:szCs w:val="21"/>
          <w:lang w:eastAsia="zh-CN"/>
        </w:rPr>
        <w:t>月</w:t>
      </w:r>
      <w:r w:rsidRPr="006B3587">
        <w:rPr>
          <w:rFonts w:asciiTheme="minorEastAsia" w:hAnsiTheme="minorEastAsia"/>
          <w:sz w:val="21"/>
          <w:szCs w:val="21"/>
          <w:lang w:eastAsia="zh-CN"/>
        </w:rPr>
        <w:t>22</w:t>
      </w:r>
      <w:r w:rsidRPr="006B3587">
        <w:rPr>
          <w:rFonts w:asciiTheme="minorEastAsia" w:hAnsiTheme="minorEastAsia" w:cs="宋体"/>
          <w:sz w:val="21"/>
          <w:szCs w:val="21"/>
          <w:lang w:eastAsia="zh-CN"/>
        </w:rPr>
        <w:t>日</w:t>
      </w:r>
    </w:p>
    <w:p w:rsidR="00A77B3E" w:rsidRDefault="00A77B3E"/>
    <w:sectPr w:rsidR="00A77B3E" w:rsidSect="000D7D5A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CEC" w:rsidRDefault="00C60CEC">
      <w:r>
        <w:separator/>
      </w:r>
    </w:p>
  </w:endnote>
  <w:endnote w:type="continuationSeparator" w:id="0">
    <w:p w:rsidR="00C60CEC" w:rsidRDefault="00C60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1C7" w:rsidRDefault="000D7D5A">
    <w:pPr>
      <w:jc w:val="center"/>
    </w:pPr>
    <w:r>
      <w:rPr>
        <w:rFonts w:ascii="宋体" w:eastAsia="宋体" w:hAnsi="宋体" w:cs="宋体"/>
        <w:sz w:val="18"/>
      </w:rPr>
      <w:fldChar w:fldCharType="begin"/>
    </w:r>
    <w:r w:rsidR="00C916DE">
      <w:rPr>
        <w:rFonts w:ascii="宋体" w:eastAsia="宋体" w:hAnsi="宋体" w:cs="宋体"/>
        <w:sz w:val="18"/>
        <w:lang w:eastAsia="zh-CN"/>
      </w:rPr>
      <w:instrText xml:space="preserve"> PAGE </w:instrText>
    </w:r>
    <w:r>
      <w:rPr>
        <w:rFonts w:ascii="宋体" w:eastAsia="宋体" w:hAnsi="宋体" w:cs="宋体"/>
        <w:sz w:val="18"/>
      </w:rPr>
      <w:fldChar w:fldCharType="separate"/>
    </w:r>
    <w:r w:rsidR="0005012D">
      <w:rPr>
        <w:rFonts w:ascii="宋体" w:eastAsia="宋体" w:hAnsi="宋体" w:cs="宋体"/>
        <w:noProof/>
        <w:sz w:val="18"/>
        <w:lang w:eastAsia="zh-CN"/>
      </w:rPr>
      <w:t>1</w:t>
    </w:r>
    <w:r>
      <w:rPr>
        <w:rFonts w:ascii="宋体" w:eastAsia="宋体" w:hAnsi="宋体" w:cs="宋体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CEC" w:rsidRDefault="00C60CEC">
      <w:r>
        <w:separator/>
      </w:r>
    </w:p>
  </w:footnote>
  <w:footnote w:type="continuationSeparator" w:id="0">
    <w:p w:rsidR="00C60CEC" w:rsidRDefault="00C60C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5012D"/>
    <w:rsid w:val="000D7D5A"/>
    <w:rsid w:val="006B3587"/>
    <w:rsid w:val="007D67A8"/>
    <w:rsid w:val="00A77B3E"/>
    <w:rsid w:val="00BD41C7"/>
    <w:rsid w:val="00C60CEC"/>
    <w:rsid w:val="00C916D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rsid w:val="00805BCE"/>
    <w:pPr>
      <w:spacing w:line="360" w:lineRule="auto"/>
    </w:pPr>
    <w:rPr>
      <w:rFonts w:ascii="宋体" w:eastAsia="宋体" w:hAnsi="宋体" w:cs="宋体"/>
      <w:b/>
      <w:sz w:val="21"/>
    </w:rPr>
  </w:style>
  <w:style w:type="paragraph" w:styleId="a3">
    <w:name w:val="header"/>
    <w:basedOn w:val="a"/>
    <w:link w:val="Char"/>
    <w:unhideWhenUsed/>
    <w:rsid w:val="006B35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B3587"/>
    <w:rPr>
      <w:sz w:val="18"/>
      <w:szCs w:val="18"/>
    </w:rPr>
  </w:style>
  <w:style w:type="paragraph" w:styleId="a4">
    <w:name w:val="footer"/>
    <w:basedOn w:val="a"/>
    <w:link w:val="Char0"/>
    <w:unhideWhenUsed/>
    <w:rsid w:val="006B358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B358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缪莉芳</dc:creator>
  <cp:lastModifiedBy>ZHONGM</cp:lastModifiedBy>
  <cp:revision>2</cp:revision>
  <cp:lastPrinted>2024-03-21T02:35:00Z</cp:lastPrinted>
  <dcterms:created xsi:type="dcterms:W3CDTF">2024-03-21T16:02:00Z</dcterms:created>
  <dcterms:modified xsi:type="dcterms:W3CDTF">2024-03-21T16:02:00Z</dcterms:modified>
</cp:coreProperties>
</file>