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25" w:rsidRPr="00A73B76" w:rsidRDefault="00A73B76">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A73B76">
        <w:rPr>
          <w:rFonts w:ascii="宋体" w:eastAsia="宋体" w:cs="宋体" w:hint="eastAsia"/>
          <w:snapToGrid w:val="0"/>
          <w:color w:val="000000"/>
          <w:spacing w:val="-8"/>
          <w:kern w:val="0"/>
          <w:sz w:val="30"/>
          <w:szCs w:val="30"/>
        </w:rPr>
        <w:t>关于中银彭博政策性银行债券1-5年指数证券投资基金暂停机构投资者大额申购、转换转入及定期定额投资业务的公告</w:t>
      </w:r>
    </w:p>
    <w:p w:rsidR="00087F25" w:rsidRPr="00A73B76" w:rsidRDefault="00A73B76">
      <w:pPr>
        <w:widowControl/>
        <w:jc w:val="center"/>
        <w:rPr>
          <w:rFonts w:ascii="宋体" w:eastAsia="宋体" w:cs="宋体"/>
          <w:b/>
          <w:kern w:val="0"/>
          <w:sz w:val="30"/>
          <w:szCs w:val="30"/>
        </w:rPr>
      </w:pPr>
      <w:r w:rsidRPr="00A73B76">
        <w:rPr>
          <w:rFonts w:ascii="宋体" w:eastAsia="宋体"/>
          <w:color w:val="000000"/>
          <w:sz w:val="24"/>
          <w:szCs w:val="24"/>
        </w:rPr>
        <w:t>公告送出日期：</w:t>
      </w:r>
      <w:r w:rsidRPr="00A73B76">
        <w:rPr>
          <w:rFonts w:ascii="宋体" w:eastAsia="宋体" w:hint="eastAsia"/>
          <w:kern w:val="0"/>
          <w:sz w:val="24"/>
          <w:szCs w:val="24"/>
        </w:rPr>
        <w:t>2024年03月22日</w:t>
      </w:r>
    </w:p>
    <w:p w:rsidR="00087F25" w:rsidRPr="00A73B76" w:rsidRDefault="00A73B76">
      <w:pPr>
        <w:pStyle w:val="2"/>
        <w:spacing w:line="560" w:lineRule="exact"/>
        <w:rPr>
          <w:rFonts w:ascii="宋体" w:eastAsia="宋体"/>
          <w:bCs w:val="0"/>
          <w:color w:val="000000"/>
          <w:sz w:val="24"/>
          <w:szCs w:val="24"/>
        </w:rPr>
      </w:pPr>
      <w:bookmarkStart w:id="0" w:name="_Toc275961405"/>
      <w:r w:rsidRPr="00A73B76">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7"/>
        <w:gridCol w:w="3559"/>
        <w:gridCol w:w="3112"/>
      </w:tblGrid>
      <w:tr w:rsidR="00087F25" w:rsidRPr="00A73B76">
        <w:trPr>
          <w:jc w:val="center"/>
        </w:trPr>
        <w:tc>
          <w:tcPr>
            <w:tcW w:w="2927" w:type="dxa"/>
          </w:tcPr>
          <w:p w:rsidR="00087F25" w:rsidRPr="00A73B76" w:rsidRDefault="00A73B76">
            <w:pPr>
              <w:spacing w:line="360" w:lineRule="auto"/>
              <w:rPr>
                <w:rFonts w:ascii="宋体" w:eastAsia="宋体"/>
                <w:color w:val="000000"/>
                <w:sz w:val="24"/>
                <w:szCs w:val="24"/>
              </w:rPr>
            </w:pPr>
            <w:r w:rsidRPr="00A73B76">
              <w:rPr>
                <w:rFonts w:ascii="宋体" w:eastAsia="宋体"/>
                <w:color w:val="000000"/>
                <w:sz w:val="24"/>
                <w:szCs w:val="24"/>
              </w:rPr>
              <w:t>基金名称</w:t>
            </w:r>
          </w:p>
        </w:tc>
        <w:tc>
          <w:tcPr>
            <w:tcW w:w="6671" w:type="dxa"/>
            <w:gridSpan w:val="2"/>
            <w:vAlign w:val="center"/>
          </w:tcPr>
          <w:p w:rsidR="00087F25" w:rsidRPr="00A73B76" w:rsidRDefault="00A73B76">
            <w:pPr>
              <w:spacing w:line="360" w:lineRule="auto"/>
              <w:rPr>
                <w:rFonts w:ascii="宋体" w:eastAsia="宋体"/>
                <w:sz w:val="24"/>
                <w:szCs w:val="24"/>
              </w:rPr>
            </w:pPr>
            <w:r w:rsidRPr="00A73B76">
              <w:rPr>
                <w:rFonts w:ascii="宋体" w:eastAsia="宋体" w:hint="eastAsia"/>
                <w:sz w:val="24"/>
                <w:szCs w:val="24"/>
              </w:rPr>
              <w:t>中银彭博政策性银行债券1-5年指数证券投资基金</w:t>
            </w:r>
          </w:p>
        </w:tc>
      </w:tr>
      <w:tr w:rsidR="00087F25" w:rsidRPr="00A73B76">
        <w:trPr>
          <w:jc w:val="center"/>
        </w:trPr>
        <w:tc>
          <w:tcPr>
            <w:tcW w:w="2927" w:type="dxa"/>
          </w:tcPr>
          <w:p w:rsidR="00087F25" w:rsidRPr="00A73B76" w:rsidRDefault="00A73B76">
            <w:pPr>
              <w:spacing w:line="360" w:lineRule="auto"/>
              <w:rPr>
                <w:rFonts w:ascii="宋体" w:eastAsia="宋体"/>
                <w:color w:val="000000"/>
                <w:kern w:val="0"/>
                <w:sz w:val="24"/>
                <w:szCs w:val="24"/>
              </w:rPr>
            </w:pPr>
            <w:r w:rsidRPr="00A73B76">
              <w:rPr>
                <w:rFonts w:ascii="宋体" w:eastAsia="宋体"/>
                <w:color w:val="000000"/>
                <w:sz w:val="24"/>
                <w:szCs w:val="24"/>
              </w:rPr>
              <w:t>基金简称</w:t>
            </w:r>
          </w:p>
        </w:tc>
        <w:tc>
          <w:tcPr>
            <w:tcW w:w="6671" w:type="dxa"/>
            <w:gridSpan w:val="2"/>
            <w:vAlign w:val="center"/>
          </w:tcPr>
          <w:p w:rsidR="00087F25" w:rsidRPr="00A73B76" w:rsidRDefault="00A73B76">
            <w:pPr>
              <w:spacing w:line="360" w:lineRule="auto"/>
              <w:rPr>
                <w:rFonts w:ascii="宋体" w:eastAsia="宋体"/>
                <w:sz w:val="24"/>
                <w:szCs w:val="24"/>
              </w:rPr>
            </w:pPr>
            <w:r w:rsidRPr="00A73B76">
              <w:rPr>
                <w:rFonts w:ascii="宋体" w:eastAsia="宋体" w:hint="eastAsia"/>
                <w:sz w:val="24"/>
                <w:szCs w:val="24"/>
              </w:rPr>
              <w:t>中银彭博政策性银行债券1-5年指数</w:t>
            </w:r>
          </w:p>
        </w:tc>
      </w:tr>
      <w:tr w:rsidR="00087F25" w:rsidRPr="00A73B76">
        <w:trPr>
          <w:jc w:val="center"/>
        </w:trPr>
        <w:tc>
          <w:tcPr>
            <w:tcW w:w="2927" w:type="dxa"/>
            <w:vAlign w:val="center"/>
          </w:tcPr>
          <w:p w:rsidR="00087F25" w:rsidRPr="00A73B76" w:rsidRDefault="00A73B76">
            <w:pPr>
              <w:spacing w:line="360" w:lineRule="auto"/>
              <w:rPr>
                <w:rFonts w:ascii="宋体" w:eastAsia="宋体"/>
                <w:color w:val="000000"/>
                <w:sz w:val="24"/>
                <w:szCs w:val="24"/>
              </w:rPr>
            </w:pPr>
            <w:r w:rsidRPr="00A73B76">
              <w:rPr>
                <w:rFonts w:ascii="宋体" w:eastAsia="宋体"/>
                <w:color w:val="000000"/>
                <w:sz w:val="24"/>
                <w:szCs w:val="24"/>
              </w:rPr>
              <w:t>基金主代码</w:t>
            </w:r>
          </w:p>
        </w:tc>
        <w:tc>
          <w:tcPr>
            <w:tcW w:w="6671" w:type="dxa"/>
            <w:gridSpan w:val="2"/>
            <w:vAlign w:val="center"/>
          </w:tcPr>
          <w:p w:rsidR="00087F25" w:rsidRPr="00A73B76" w:rsidRDefault="00A73B76">
            <w:pPr>
              <w:spacing w:line="360" w:lineRule="auto"/>
              <w:rPr>
                <w:rFonts w:ascii="宋体" w:eastAsia="宋体"/>
                <w:sz w:val="24"/>
                <w:szCs w:val="24"/>
              </w:rPr>
            </w:pPr>
            <w:r w:rsidRPr="00A73B76">
              <w:rPr>
                <w:rFonts w:ascii="宋体" w:eastAsia="宋体" w:hint="eastAsia"/>
                <w:sz w:val="24"/>
                <w:szCs w:val="24"/>
              </w:rPr>
              <w:t>010509</w:t>
            </w:r>
          </w:p>
        </w:tc>
      </w:tr>
      <w:tr w:rsidR="00087F25" w:rsidRPr="00A73B76">
        <w:trPr>
          <w:jc w:val="center"/>
        </w:trPr>
        <w:tc>
          <w:tcPr>
            <w:tcW w:w="2927" w:type="dxa"/>
          </w:tcPr>
          <w:p w:rsidR="00087F25" w:rsidRPr="00A73B76" w:rsidRDefault="00A73B76">
            <w:pPr>
              <w:spacing w:line="360" w:lineRule="auto"/>
              <w:rPr>
                <w:rFonts w:ascii="宋体" w:eastAsia="宋体"/>
                <w:color w:val="000000"/>
                <w:kern w:val="0"/>
                <w:sz w:val="24"/>
                <w:szCs w:val="24"/>
              </w:rPr>
            </w:pPr>
            <w:r w:rsidRPr="00A73B76">
              <w:rPr>
                <w:rFonts w:ascii="宋体" w:eastAsia="宋体"/>
                <w:color w:val="000000"/>
                <w:sz w:val="24"/>
                <w:szCs w:val="24"/>
              </w:rPr>
              <w:t>基金管理人名称</w:t>
            </w:r>
          </w:p>
        </w:tc>
        <w:tc>
          <w:tcPr>
            <w:tcW w:w="6671" w:type="dxa"/>
            <w:gridSpan w:val="2"/>
            <w:vAlign w:val="center"/>
          </w:tcPr>
          <w:p w:rsidR="00087F25" w:rsidRPr="00A73B76" w:rsidRDefault="00A73B76">
            <w:pPr>
              <w:spacing w:line="360" w:lineRule="auto"/>
              <w:rPr>
                <w:rFonts w:ascii="宋体" w:eastAsia="宋体"/>
                <w:sz w:val="24"/>
                <w:szCs w:val="24"/>
              </w:rPr>
            </w:pPr>
            <w:r w:rsidRPr="00A73B76">
              <w:rPr>
                <w:rFonts w:ascii="宋体" w:eastAsia="宋体"/>
                <w:sz w:val="24"/>
                <w:szCs w:val="24"/>
              </w:rPr>
              <w:t>中银基金管理有限公司</w:t>
            </w:r>
          </w:p>
        </w:tc>
      </w:tr>
      <w:tr w:rsidR="00087F25" w:rsidRPr="00A73B76">
        <w:trPr>
          <w:trHeight w:val="1228"/>
          <w:jc w:val="center"/>
        </w:trPr>
        <w:tc>
          <w:tcPr>
            <w:tcW w:w="2927" w:type="dxa"/>
          </w:tcPr>
          <w:p w:rsidR="00087F25" w:rsidRPr="00A73B76" w:rsidRDefault="00A73B76">
            <w:pPr>
              <w:spacing w:line="360" w:lineRule="auto"/>
              <w:rPr>
                <w:rFonts w:ascii="宋体" w:eastAsia="宋体"/>
                <w:color w:val="000000"/>
                <w:kern w:val="0"/>
                <w:sz w:val="24"/>
                <w:szCs w:val="24"/>
              </w:rPr>
            </w:pPr>
            <w:r w:rsidRPr="00A73B76">
              <w:rPr>
                <w:rFonts w:ascii="宋体" w:eastAsia="宋体"/>
                <w:color w:val="000000"/>
                <w:sz w:val="24"/>
                <w:szCs w:val="24"/>
              </w:rPr>
              <w:t>公告依据</w:t>
            </w:r>
          </w:p>
        </w:tc>
        <w:tc>
          <w:tcPr>
            <w:tcW w:w="6671" w:type="dxa"/>
            <w:gridSpan w:val="2"/>
            <w:vAlign w:val="center"/>
          </w:tcPr>
          <w:p w:rsidR="00087F25" w:rsidRPr="00A73B76" w:rsidRDefault="00A73B76">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3B76">
              <w:rPr>
                <w:rFonts w:ascii="宋体" w:eastAsia="宋体" w:cs="宋体"/>
                <w:snapToGrid w:val="0"/>
                <w:color w:val="000000"/>
                <w:spacing w:val="-5"/>
                <w:kern w:val="0"/>
                <w:sz w:val="24"/>
                <w:szCs w:val="24"/>
              </w:rPr>
              <w:t>相关法律法规及</w:t>
            </w:r>
            <w:r w:rsidRPr="00A73B76">
              <w:rPr>
                <w:rFonts w:ascii="宋体" w:eastAsia="宋体" w:cs="宋体" w:hint="eastAsia"/>
                <w:snapToGrid w:val="0"/>
                <w:color w:val="000000"/>
                <w:spacing w:val="-5"/>
                <w:kern w:val="0"/>
                <w:sz w:val="24"/>
                <w:szCs w:val="24"/>
              </w:rPr>
              <w:t>《中银彭博政策性银行债券1-5年指数证券投资基金基金合同》和《中银彭博政策性银行债券1-5年指数证券投资基金招募说明书》</w:t>
            </w:r>
            <w:r w:rsidRPr="00A73B76">
              <w:rPr>
                <w:rFonts w:ascii="宋体" w:eastAsia="宋体" w:cs="宋体"/>
                <w:snapToGrid w:val="0"/>
                <w:color w:val="000000"/>
                <w:spacing w:val="-5"/>
                <w:kern w:val="0"/>
                <w:sz w:val="24"/>
                <w:szCs w:val="24"/>
              </w:rPr>
              <w:t>的有关规定</w:t>
            </w:r>
          </w:p>
        </w:tc>
      </w:tr>
      <w:tr w:rsidR="00087F25" w:rsidRPr="00A73B76">
        <w:trPr>
          <w:trHeight w:val="1260"/>
          <w:jc w:val="center"/>
        </w:trPr>
        <w:tc>
          <w:tcPr>
            <w:tcW w:w="2927" w:type="dxa"/>
            <w:vMerge w:val="restart"/>
            <w:vAlign w:val="center"/>
          </w:tcPr>
          <w:p w:rsidR="00087F25" w:rsidRPr="00A73B76" w:rsidRDefault="00087F25">
            <w:pPr>
              <w:spacing w:line="360" w:lineRule="auto"/>
              <w:rPr>
                <w:rFonts w:ascii="宋体" w:eastAsia="宋体"/>
                <w:color w:val="000000"/>
                <w:sz w:val="24"/>
                <w:szCs w:val="24"/>
              </w:rPr>
            </w:pPr>
          </w:p>
          <w:p w:rsidR="00087F25" w:rsidRPr="00A73B76" w:rsidRDefault="00A73B76">
            <w:pPr>
              <w:spacing w:line="360" w:lineRule="auto"/>
            </w:pPr>
            <w:r w:rsidRPr="00A73B76">
              <w:rPr>
                <w:rFonts w:ascii="宋体" w:eastAsia="宋体"/>
                <w:color w:val="000000"/>
                <w:sz w:val="24"/>
                <w:szCs w:val="24"/>
              </w:rPr>
              <w:t>暂停相关业务的起始日、金额及原因说明</w:t>
            </w:r>
          </w:p>
          <w:p w:rsidR="00087F25" w:rsidRPr="00A73B76" w:rsidRDefault="00087F25">
            <w:pPr>
              <w:spacing w:line="360" w:lineRule="auto"/>
              <w:rPr>
                <w:rFonts w:ascii="宋体" w:eastAsia="宋体"/>
                <w:color w:val="000000"/>
                <w:sz w:val="24"/>
                <w:szCs w:val="24"/>
              </w:rPr>
            </w:pPr>
          </w:p>
          <w:p w:rsidR="00087F25" w:rsidRPr="00A73B76" w:rsidRDefault="00087F25">
            <w:pPr>
              <w:spacing w:line="360" w:lineRule="auto"/>
            </w:pPr>
          </w:p>
        </w:tc>
        <w:tc>
          <w:tcPr>
            <w:tcW w:w="3559" w:type="dxa"/>
          </w:tcPr>
          <w:p w:rsidR="00087F25" w:rsidRPr="00A73B76" w:rsidRDefault="00A73B76">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3B76">
              <w:rPr>
                <w:rFonts w:ascii="宋体" w:eastAsia="宋体" w:cs="宋体"/>
                <w:snapToGrid w:val="0"/>
                <w:color w:val="000000"/>
                <w:spacing w:val="-5"/>
                <w:kern w:val="0"/>
                <w:sz w:val="24"/>
                <w:szCs w:val="24"/>
              </w:rPr>
              <w:t>暂停</w:t>
            </w:r>
            <w:r w:rsidRPr="00A73B76">
              <w:rPr>
                <w:rFonts w:ascii="宋体" w:eastAsia="宋体" w:cs="宋体" w:hint="eastAsia"/>
                <w:snapToGrid w:val="0"/>
                <w:color w:val="000000"/>
                <w:spacing w:val="-5"/>
                <w:kern w:val="0"/>
                <w:sz w:val="24"/>
                <w:szCs w:val="24"/>
              </w:rPr>
              <w:t>机构投资者大额申购、转换转入及定期定额投资</w:t>
            </w:r>
            <w:r w:rsidRPr="00A73B76">
              <w:rPr>
                <w:rFonts w:ascii="宋体" w:eastAsia="宋体" w:cs="宋体"/>
                <w:snapToGrid w:val="0"/>
                <w:color w:val="000000"/>
                <w:spacing w:val="-5"/>
                <w:kern w:val="0"/>
                <w:sz w:val="24"/>
                <w:szCs w:val="24"/>
              </w:rPr>
              <w:t>起始日</w:t>
            </w:r>
          </w:p>
        </w:tc>
        <w:tc>
          <w:tcPr>
            <w:tcW w:w="3112" w:type="dxa"/>
            <w:vAlign w:val="center"/>
          </w:tcPr>
          <w:p w:rsidR="00087F25" w:rsidRPr="00A73B76" w:rsidRDefault="00A73B76">
            <w:pPr>
              <w:spacing w:line="360" w:lineRule="auto"/>
              <w:jc w:val="center"/>
              <w:rPr>
                <w:rFonts w:ascii="宋体" w:eastAsia="宋体"/>
                <w:sz w:val="24"/>
                <w:szCs w:val="24"/>
              </w:rPr>
            </w:pPr>
            <w:r w:rsidRPr="00A73B76">
              <w:rPr>
                <w:rFonts w:ascii="宋体" w:eastAsia="宋体" w:hint="eastAsia"/>
                <w:kern w:val="0"/>
                <w:sz w:val="24"/>
                <w:szCs w:val="24"/>
              </w:rPr>
              <w:t>2024年03月22日</w:t>
            </w:r>
          </w:p>
        </w:tc>
      </w:tr>
      <w:tr w:rsidR="00087F25" w:rsidRPr="00A73B76">
        <w:trPr>
          <w:trHeight w:val="1277"/>
          <w:jc w:val="center"/>
        </w:trPr>
        <w:tc>
          <w:tcPr>
            <w:tcW w:w="2927" w:type="dxa"/>
            <w:vMerge/>
          </w:tcPr>
          <w:p w:rsidR="00087F25" w:rsidRPr="00A73B76" w:rsidRDefault="00087F25"/>
        </w:tc>
        <w:tc>
          <w:tcPr>
            <w:tcW w:w="3559" w:type="dxa"/>
            <w:vAlign w:val="center"/>
          </w:tcPr>
          <w:p w:rsidR="00087F25" w:rsidRPr="00A73B76" w:rsidRDefault="00A73B76">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3B76">
              <w:rPr>
                <w:rFonts w:ascii="宋体" w:eastAsia="宋体" w:cs="宋体"/>
                <w:snapToGrid w:val="0"/>
                <w:color w:val="000000"/>
                <w:spacing w:val="-5"/>
                <w:kern w:val="0"/>
                <w:sz w:val="24"/>
                <w:szCs w:val="24"/>
              </w:rPr>
              <w:t>限制</w:t>
            </w:r>
            <w:r w:rsidRPr="00A73B76">
              <w:rPr>
                <w:rFonts w:ascii="宋体" w:eastAsia="宋体" w:cs="宋体" w:hint="eastAsia"/>
                <w:snapToGrid w:val="0"/>
                <w:color w:val="000000"/>
                <w:spacing w:val="-5"/>
                <w:kern w:val="0"/>
                <w:sz w:val="24"/>
                <w:szCs w:val="24"/>
              </w:rPr>
              <w:t>机构投资者大额申购、转换转入及定期定额投资</w:t>
            </w:r>
            <w:r w:rsidRPr="00A73B76">
              <w:rPr>
                <w:rFonts w:ascii="宋体" w:eastAsia="宋体" w:cs="宋体"/>
                <w:snapToGrid w:val="0"/>
                <w:color w:val="000000"/>
                <w:spacing w:val="-5"/>
                <w:kern w:val="0"/>
                <w:sz w:val="24"/>
                <w:szCs w:val="24"/>
              </w:rPr>
              <w:t>金额（单位：</w:t>
            </w:r>
            <w:r w:rsidRPr="00A73B76">
              <w:rPr>
                <w:rFonts w:ascii="宋体" w:eastAsia="宋体" w:cs="宋体" w:hint="eastAsia"/>
                <w:snapToGrid w:val="0"/>
                <w:color w:val="000000"/>
                <w:spacing w:val="-5"/>
                <w:kern w:val="0"/>
                <w:sz w:val="24"/>
                <w:szCs w:val="24"/>
              </w:rPr>
              <w:t>元</w:t>
            </w:r>
            <w:r w:rsidRPr="00A73B76">
              <w:rPr>
                <w:rFonts w:ascii="宋体" w:eastAsia="宋体" w:cs="宋体"/>
                <w:snapToGrid w:val="0"/>
                <w:color w:val="000000"/>
                <w:spacing w:val="-5"/>
                <w:kern w:val="0"/>
                <w:sz w:val="24"/>
                <w:szCs w:val="24"/>
              </w:rPr>
              <w:t>）</w:t>
            </w:r>
          </w:p>
        </w:tc>
        <w:tc>
          <w:tcPr>
            <w:tcW w:w="3112" w:type="dxa"/>
            <w:vAlign w:val="center"/>
          </w:tcPr>
          <w:p w:rsidR="00087F25" w:rsidRPr="00A73B76" w:rsidRDefault="00A73B76">
            <w:pPr>
              <w:spacing w:line="360" w:lineRule="auto"/>
              <w:jc w:val="center"/>
              <w:rPr>
                <w:rFonts w:ascii="宋体" w:eastAsia="宋体"/>
                <w:sz w:val="24"/>
                <w:szCs w:val="24"/>
              </w:rPr>
            </w:pPr>
            <w:r w:rsidRPr="00A73B76">
              <w:rPr>
                <w:rFonts w:ascii="宋体" w:eastAsia="宋体" w:hint="eastAsia"/>
                <w:sz w:val="24"/>
                <w:szCs w:val="24"/>
              </w:rPr>
              <w:t>1,000,000</w:t>
            </w:r>
          </w:p>
        </w:tc>
      </w:tr>
      <w:tr w:rsidR="00087F25" w:rsidRPr="00A73B76">
        <w:trPr>
          <w:trHeight w:val="1253"/>
          <w:jc w:val="center"/>
        </w:trPr>
        <w:tc>
          <w:tcPr>
            <w:tcW w:w="2927" w:type="dxa"/>
            <w:vMerge/>
          </w:tcPr>
          <w:p w:rsidR="00087F25" w:rsidRPr="00A73B76" w:rsidRDefault="00087F25"/>
        </w:tc>
        <w:tc>
          <w:tcPr>
            <w:tcW w:w="3559" w:type="dxa"/>
          </w:tcPr>
          <w:p w:rsidR="00087F25" w:rsidRPr="00A73B76" w:rsidRDefault="00A73B76">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A73B76">
              <w:rPr>
                <w:rFonts w:ascii="宋体" w:eastAsia="宋体" w:cs="宋体"/>
                <w:snapToGrid w:val="0"/>
                <w:color w:val="000000"/>
                <w:spacing w:val="-5"/>
                <w:kern w:val="0"/>
                <w:sz w:val="24"/>
                <w:szCs w:val="24"/>
              </w:rPr>
              <w:t>暂停</w:t>
            </w:r>
            <w:r w:rsidRPr="00A73B76">
              <w:rPr>
                <w:rFonts w:ascii="宋体" w:eastAsia="宋体" w:cs="宋体" w:hint="eastAsia"/>
                <w:snapToGrid w:val="0"/>
                <w:color w:val="000000"/>
                <w:spacing w:val="-5"/>
                <w:kern w:val="0"/>
                <w:sz w:val="24"/>
                <w:szCs w:val="24"/>
              </w:rPr>
              <w:t>机构投资者大额申购、转换转入及定期定额投</w:t>
            </w:r>
            <w:bookmarkStart w:id="1" w:name="_GoBack"/>
            <w:bookmarkEnd w:id="1"/>
            <w:r w:rsidRPr="00A73B76">
              <w:rPr>
                <w:rFonts w:ascii="宋体" w:eastAsia="宋体" w:cs="宋体" w:hint="eastAsia"/>
                <w:snapToGrid w:val="0"/>
                <w:color w:val="000000"/>
                <w:spacing w:val="-5"/>
                <w:kern w:val="0"/>
                <w:sz w:val="24"/>
                <w:szCs w:val="24"/>
              </w:rPr>
              <w:t>资</w:t>
            </w:r>
            <w:r w:rsidRPr="00A73B76">
              <w:rPr>
                <w:rFonts w:ascii="宋体" w:eastAsia="宋体" w:cs="宋体"/>
                <w:snapToGrid w:val="0"/>
                <w:color w:val="000000"/>
                <w:spacing w:val="-5"/>
                <w:kern w:val="0"/>
                <w:sz w:val="24"/>
                <w:szCs w:val="24"/>
              </w:rPr>
              <w:t>的原因说明</w:t>
            </w:r>
          </w:p>
        </w:tc>
        <w:tc>
          <w:tcPr>
            <w:tcW w:w="3112" w:type="dxa"/>
          </w:tcPr>
          <w:p w:rsidR="00087F25" w:rsidRPr="00A73B76" w:rsidRDefault="00A73B76">
            <w:pPr>
              <w:spacing w:line="360" w:lineRule="auto"/>
              <w:rPr>
                <w:rFonts w:ascii="宋体" w:eastAsia="宋体"/>
                <w:sz w:val="24"/>
                <w:szCs w:val="24"/>
              </w:rPr>
            </w:pPr>
            <w:r w:rsidRPr="00A73B76">
              <w:rPr>
                <w:rFonts w:ascii="宋体" w:eastAsia="宋体" w:hint="eastAsia"/>
                <w:sz w:val="24"/>
                <w:szCs w:val="24"/>
              </w:rPr>
              <w:t>保护基金份额持有人利益</w:t>
            </w:r>
            <w:r w:rsidRPr="00A73B76">
              <w:rPr>
                <w:rFonts w:ascii="宋体" w:eastAsia="宋体"/>
                <w:sz w:val="24"/>
                <w:szCs w:val="24"/>
              </w:rPr>
              <w:t xml:space="preserve"> </w:t>
            </w:r>
          </w:p>
        </w:tc>
      </w:tr>
    </w:tbl>
    <w:p w:rsidR="00087F25" w:rsidRPr="00A73B76" w:rsidRDefault="00A73B76">
      <w:pPr>
        <w:pStyle w:val="2"/>
        <w:spacing w:line="560" w:lineRule="exact"/>
        <w:rPr>
          <w:rFonts w:ascii="宋体" w:eastAsia="宋体"/>
          <w:bCs w:val="0"/>
          <w:color w:val="000000"/>
          <w:sz w:val="24"/>
          <w:szCs w:val="24"/>
        </w:rPr>
      </w:pPr>
      <w:bookmarkStart w:id="2" w:name="_Toc275961406"/>
      <w:r w:rsidRPr="00A73B76">
        <w:rPr>
          <w:rFonts w:ascii="宋体" w:eastAsia="宋体"/>
          <w:bCs w:val="0"/>
          <w:color w:val="000000"/>
          <w:sz w:val="24"/>
          <w:szCs w:val="24"/>
        </w:rPr>
        <w:t>2其他需要提示的事项</w:t>
      </w:r>
      <w:bookmarkEnd w:id="2"/>
    </w:p>
    <w:p w:rsidR="00087F25" w:rsidRPr="00A73B76" w:rsidRDefault="00A73B76" w:rsidP="00235C58">
      <w:pPr>
        <w:spacing w:beforeLines="10" w:line="360" w:lineRule="auto"/>
        <w:ind w:firstLineChars="200" w:firstLine="480"/>
        <w:rPr>
          <w:rFonts w:ascii="宋体" w:eastAsia="宋体"/>
          <w:color w:val="000000"/>
          <w:sz w:val="24"/>
          <w:szCs w:val="24"/>
        </w:rPr>
      </w:pPr>
      <w:r w:rsidRPr="00A73B76">
        <w:rPr>
          <w:rFonts w:ascii="宋体" w:eastAsia="宋体"/>
          <w:color w:val="000000"/>
          <w:sz w:val="24"/>
          <w:szCs w:val="24"/>
        </w:rPr>
        <w:t>上述业务调整适用</w:t>
      </w:r>
      <w:r w:rsidRPr="00A73B76">
        <w:rPr>
          <w:rFonts w:ascii="宋体" w:eastAsia="宋体" w:hint="eastAsia"/>
          <w:color w:val="000000"/>
          <w:sz w:val="24"/>
          <w:szCs w:val="24"/>
        </w:rPr>
        <w:t>于</w:t>
      </w:r>
      <w:r w:rsidRPr="00A73B76">
        <w:rPr>
          <w:rFonts w:ascii="宋体" w:eastAsia="宋体"/>
          <w:color w:val="000000"/>
          <w:sz w:val="24"/>
          <w:szCs w:val="24"/>
        </w:rPr>
        <w:t>代销机构、基金管理人直销中心柜台、基金管理人电子直销平台。</w:t>
      </w:r>
    </w:p>
    <w:p w:rsidR="00087F25" w:rsidRPr="00A73B76" w:rsidRDefault="00A73B76" w:rsidP="00235C58">
      <w:pPr>
        <w:spacing w:beforeLines="10" w:line="360" w:lineRule="auto"/>
        <w:ind w:firstLine="480"/>
        <w:rPr>
          <w:rFonts w:ascii="Dialog" w:eastAsia="宋体" w:hAnsi="Dialog" w:hint="eastAsia"/>
          <w:color w:val="000000"/>
          <w:sz w:val="24"/>
          <w:szCs w:val="24"/>
        </w:rPr>
      </w:pPr>
      <w:r w:rsidRPr="00A73B76">
        <w:rPr>
          <w:rFonts w:ascii="宋体" w:eastAsia="宋体" w:hint="eastAsia"/>
          <w:color w:val="000000"/>
          <w:sz w:val="24"/>
          <w:szCs w:val="24"/>
        </w:rPr>
        <w:t>自2024年3月22日至2024年3月25日，本基金暂停接受机构投资者单日</w:t>
      </w:r>
      <w:r w:rsidRPr="00A73B76">
        <w:rPr>
          <w:rFonts w:ascii="宋体" w:eastAsia="宋体" w:hint="eastAsia"/>
          <w:color w:val="000000"/>
          <w:sz w:val="24"/>
          <w:szCs w:val="24"/>
        </w:rPr>
        <w:lastRenderedPageBreak/>
        <w:t>单个基金账户单笔或累计超过100万元（不含100万元）的申购、转换转入及定期定额投资申请。如单日单个基金账户单笔申购、转换转入及定期定额投资本基金的金额超过100万元（不含100万元），对该笔申购、转换转入及定期定额投资申请本公司有权拒绝；如单日单个基金账户多笔累计申购、转换转入及定期定额投资本基金的金额超过100万元（不含100万元），对超过限额的该笔或多笔申购、转换转入及定期定额投资申请本公司有权拒绝。</w:t>
      </w:r>
    </w:p>
    <w:p w:rsidR="00087F25" w:rsidRPr="00A73B76" w:rsidRDefault="00A73B76" w:rsidP="00235C58">
      <w:pPr>
        <w:spacing w:beforeLines="10" w:line="360" w:lineRule="auto"/>
        <w:ind w:firstLine="480"/>
      </w:pPr>
      <w:r w:rsidRPr="00A73B76">
        <w:rPr>
          <w:rFonts w:ascii="宋体" w:eastAsia="宋体" w:hint="eastAsia"/>
          <w:color w:val="000000"/>
          <w:sz w:val="24"/>
          <w:szCs w:val="24"/>
        </w:rPr>
        <w:t>2024年3月26日起本基金将恢复办理机构投资者正常申购、转换转入及定期定额投资业务，届时将不再另行公告。</w:t>
      </w:r>
    </w:p>
    <w:p w:rsidR="00087F25" w:rsidRPr="00A73B76" w:rsidRDefault="00A73B76" w:rsidP="00235C58">
      <w:pPr>
        <w:spacing w:beforeLines="10" w:line="360" w:lineRule="auto"/>
        <w:ind w:firstLine="480"/>
      </w:pPr>
      <w:r w:rsidRPr="00A73B76">
        <w:rPr>
          <w:rFonts w:ascii="宋体" w:eastAsia="宋体" w:hint="eastAsia"/>
          <w:color w:val="000000"/>
          <w:sz w:val="24"/>
          <w:szCs w:val="24"/>
        </w:rPr>
        <w:t>投资者如欲了解详情，可登陆本公司网站（www.bocim.com）或拨打客户服务电话：400-888-5566；021-38834788。</w:t>
      </w:r>
    </w:p>
    <w:p w:rsidR="00087F25" w:rsidRPr="00A73B76" w:rsidRDefault="00A73B76" w:rsidP="00235C58">
      <w:pPr>
        <w:spacing w:beforeLines="10" w:line="360" w:lineRule="auto"/>
        <w:ind w:firstLineChars="200" w:firstLine="480"/>
        <w:rPr>
          <w:rFonts w:ascii="宋体" w:eastAsia="宋体"/>
          <w:color w:val="000000"/>
          <w:sz w:val="24"/>
          <w:szCs w:val="24"/>
        </w:rPr>
      </w:pPr>
      <w:r w:rsidRPr="00A73B76">
        <w:rPr>
          <w:rFonts w:ascii="宋体" w:eastAsia="宋体"/>
          <w:color w:val="000000"/>
          <w:sz w:val="24"/>
          <w:szCs w:val="24"/>
        </w:rPr>
        <w:t>风险提示：</w:t>
      </w:r>
    </w:p>
    <w:p w:rsidR="00087F25" w:rsidRPr="00A73B76" w:rsidRDefault="00A73B76" w:rsidP="00235C58">
      <w:pPr>
        <w:spacing w:beforeLines="10" w:line="360" w:lineRule="auto"/>
        <w:ind w:firstLineChars="200" w:firstLine="480"/>
        <w:rPr>
          <w:rFonts w:ascii="宋体" w:eastAsia="宋体"/>
          <w:color w:val="000000"/>
          <w:sz w:val="24"/>
          <w:szCs w:val="24"/>
        </w:rPr>
      </w:pPr>
      <w:r w:rsidRPr="00A73B76">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087F25" w:rsidRPr="00A73B76" w:rsidRDefault="00A73B76" w:rsidP="00235C58">
      <w:pPr>
        <w:spacing w:beforeLines="10" w:line="360" w:lineRule="auto"/>
        <w:ind w:firstLineChars="200" w:firstLine="480"/>
        <w:rPr>
          <w:rFonts w:ascii="宋体" w:eastAsia="宋体"/>
          <w:color w:val="000000"/>
          <w:sz w:val="24"/>
          <w:szCs w:val="24"/>
        </w:rPr>
      </w:pPr>
      <w:r w:rsidRPr="00A73B76">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087F25" w:rsidRPr="00A73B76" w:rsidRDefault="00A73B76" w:rsidP="00235C58">
      <w:pPr>
        <w:spacing w:beforeLines="10" w:line="360" w:lineRule="auto"/>
        <w:ind w:firstLineChars="200" w:firstLine="480"/>
        <w:rPr>
          <w:rFonts w:ascii="宋体" w:eastAsia="宋体"/>
          <w:color w:val="000000"/>
          <w:sz w:val="24"/>
          <w:szCs w:val="24"/>
        </w:rPr>
      </w:pPr>
      <w:bookmarkStart w:id="3" w:name="_Hlk129784011"/>
      <w:r w:rsidRPr="00A73B76">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3"/>
    <w:p w:rsidR="00087F25" w:rsidRPr="00A73B76" w:rsidRDefault="00A73B76" w:rsidP="00235C58">
      <w:pPr>
        <w:spacing w:beforeLines="10" w:line="360" w:lineRule="auto"/>
        <w:ind w:firstLineChars="200" w:firstLine="480"/>
        <w:rPr>
          <w:rFonts w:ascii="宋体" w:eastAsia="宋体"/>
          <w:color w:val="000000"/>
          <w:sz w:val="24"/>
          <w:szCs w:val="24"/>
        </w:rPr>
      </w:pPr>
      <w:r w:rsidRPr="00A73B76">
        <w:rPr>
          <w:rFonts w:ascii="宋体" w:eastAsia="宋体"/>
          <w:color w:val="000000"/>
          <w:sz w:val="24"/>
          <w:szCs w:val="24"/>
        </w:rPr>
        <w:t>特此公告。</w:t>
      </w:r>
    </w:p>
    <w:p w:rsidR="00087F25" w:rsidRPr="00A73B76" w:rsidRDefault="00087F25">
      <w:pPr>
        <w:spacing w:line="360" w:lineRule="auto"/>
        <w:ind w:firstLine="420"/>
        <w:jc w:val="right"/>
        <w:rPr>
          <w:rFonts w:ascii="宋体" w:eastAsia="宋体"/>
          <w:sz w:val="24"/>
          <w:szCs w:val="24"/>
        </w:rPr>
      </w:pPr>
    </w:p>
    <w:p w:rsidR="00087F25" w:rsidRPr="00A73B76" w:rsidRDefault="00A73B76">
      <w:pPr>
        <w:spacing w:line="360" w:lineRule="auto"/>
        <w:ind w:firstLine="420"/>
        <w:jc w:val="right"/>
        <w:rPr>
          <w:rFonts w:ascii="宋体" w:eastAsia="宋体"/>
          <w:sz w:val="24"/>
          <w:szCs w:val="24"/>
        </w:rPr>
      </w:pPr>
      <w:r w:rsidRPr="00A73B76">
        <w:rPr>
          <w:rFonts w:ascii="宋体" w:eastAsia="宋体"/>
          <w:sz w:val="24"/>
          <w:szCs w:val="24"/>
        </w:rPr>
        <w:t>中银基金管理有限公司</w:t>
      </w:r>
    </w:p>
    <w:p w:rsidR="00087F25" w:rsidRDefault="00A73B76">
      <w:pPr>
        <w:spacing w:line="360" w:lineRule="auto"/>
        <w:ind w:firstLine="420"/>
        <w:jc w:val="right"/>
        <w:rPr>
          <w:rFonts w:ascii="宋体" w:eastAsia="宋体"/>
          <w:sz w:val="24"/>
          <w:szCs w:val="24"/>
        </w:rPr>
      </w:pPr>
      <w:r w:rsidRPr="00A73B76">
        <w:rPr>
          <w:rFonts w:ascii="宋体" w:eastAsia="宋体" w:hint="eastAsia"/>
          <w:kern w:val="0"/>
          <w:sz w:val="24"/>
          <w:szCs w:val="24"/>
        </w:rPr>
        <w:t>2024年03月22日</w:t>
      </w:r>
    </w:p>
    <w:sectPr w:rsidR="00087F25" w:rsidSect="000A7BD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087F25"/>
    <w:rsid w:val="00087F25"/>
    <w:rsid w:val="000A7BD2"/>
    <w:rsid w:val="00235C58"/>
    <w:rsid w:val="00A73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7BD2"/>
    <w:pPr>
      <w:widowControl w:val="0"/>
      <w:jc w:val="both"/>
    </w:pPr>
    <w:rPr>
      <w:rFonts w:eastAsia="方正仿宋简体"/>
      <w:kern w:val="2"/>
      <w:sz w:val="32"/>
    </w:rPr>
  </w:style>
  <w:style w:type="paragraph" w:styleId="1">
    <w:name w:val="heading 1"/>
    <w:basedOn w:val="a"/>
    <w:next w:val="a"/>
    <w:rsid w:val="000A7BD2"/>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0A7BD2"/>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0A7BD2"/>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A7BD2"/>
    <w:pPr>
      <w:jc w:val="left"/>
    </w:pPr>
  </w:style>
  <w:style w:type="paragraph" w:styleId="a4">
    <w:name w:val="Balloon Text"/>
    <w:basedOn w:val="a"/>
    <w:rsid w:val="000A7BD2"/>
    <w:rPr>
      <w:sz w:val="18"/>
      <w:szCs w:val="18"/>
    </w:rPr>
  </w:style>
  <w:style w:type="paragraph" w:styleId="a5">
    <w:name w:val="footer"/>
    <w:basedOn w:val="a"/>
    <w:rsid w:val="000A7BD2"/>
    <w:pPr>
      <w:tabs>
        <w:tab w:val="center" w:pos="4153"/>
        <w:tab w:val="right" w:pos="8306"/>
      </w:tabs>
      <w:snapToGrid w:val="0"/>
      <w:jc w:val="left"/>
    </w:pPr>
    <w:rPr>
      <w:sz w:val="18"/>
      <w:szCs w:val="18"/>
    </w:rPr>
  </w:style>
  <w:style w:type="paragraph" w:styleId="a6">
    <w:name w:val="header"/>
    <w:basedOn w:val="a"/>
    <w:rsid w:val="000A7BD2"/>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0A7BD2"/>
    <w:pPr>
      <w:snapToGrid w:val="0"/>
      <w:jc w:val="left"/>
    </w:pPr>
    <w:rPr>
      <w:rFonts w:eastAsia="宋体"/>
      <w:sz w:val="18"/>
    </w:rPr>
  </w:style>
  <w:style w:type="paragraph" w:styleId="a8">
    <w:name w:val="annotation subject"/>
    <w:basedOn w:val="a3"/>
    <w:next w:val="a3"/>
    <w:rsid w:val="000A7BD2"/>
    <w:rPr>
      <w:b/>
      <w:bCs/>
    </w:rPr>
  </w:style>
  <w:style w:type="character" w:styleId="a9">
    <w:name w:val="annotation reference"/>
    <w:basedOn w:val="a0"/>
    <w:rsid w:val="000A7BD2"/>
    <w:rPr>
      <w:sz w:val="21"/>
      <w:szCs w:val="21"/>
    </w:rPr>
  </w:style>
  <w:style w:type="character" w:styleId="aa">
    <w:name w:val="footnote reference"/>
    <w:basedOn w:val="a0"/>
    <w:rsid w:val="000A7BD2"/>
    <w:rPr>
      <w:vertAlign w:val="superscript"/>
    </w:rPr>
  </w:style>
  <w:style w:type="paragraph" w:customStyle="1" w:styleId="10">
    <w:name w:val="修订1"/>
    <w:rsid w:val="000A7BD2"/>
    <w:rPr>
      <w:rFonts w:eastAsia="方正仿宋简体"/>
      <w:kern w:val="2"/>
      <w:sz w:val="32"/>
    </w:rPr>
  </w:style>
  <w:style w:type="paragraph" w:customStyle="1" w:styleId="20">
    <w:name w:val="修订2"/>
    <w:rsid w:val="000A7BD2"/>
    <w:rPr>
      <w:rFonts w:eastAsia="方正仿宋简体"/>
      <w:kern w:val="2"/>
      <w:sz w:val="32"/>
    </w:rPr>
  </w:style>
  <w:style w:type="paragraph" w:styleId="11">
    <w:name w:val="toc 1"/>
    <w:basedOn w:val="a"/>
    <w:next w:val="a"/>
    <w:autoRedefine/>
    <w:rsid w:val="000A7BD2"/>
  </w:style>
  <w:style w:type="paragraph" w:styleId="21">
    <w:name w:val="toc 2"/>
    <w:basedOn w:val="a"/>
    <w:next w:val="a"/>
    <w:autoRedefine/>
    <w:rsid w:val="000A7BD2"/>
    <w:pPr>
      <w:ind w:left="420"/>
    </w:pPr>
  </w:style>
  <w:style w:type="paragraph" w:styleId="30">
    <w:name w:val="toc 3"/>
    <w:basedOn w:val="a"/>
    <w:next w:val="a"/>
    <w:autoRedefine/>
    <w:rsid w:val="000A7BD2"/>
    <w:pPr>
      <w:ind w:left="840"/>
    </w:pPr>
  </w:style>
  <w:style w:type="paragraph" w:styleId="4">
    <w:name w:val="toc 4"/>
    <w:basedOn w:val="a"/>
    <w:next w:val="a"/>
    <w:autoRedefine/>
    <w:rsid w:val="000A7BD2"/>
    <w:pPr>
      <w:ind w:left="1260"/>
    </w:pPr>
  </w:style>
  <w:style w:type="paragraph" w:styleId="5">
    <w:name w:val="toc 5"/>
    <w:basedOn w:val="a"/>
    <w:next w:val="a"/>
    <w:autoRedefine/>
    <w:rsid w:val="000A7BD2"/>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4</DocSecurity>
  <Lines>9</Lines>
  <Paragraphs>2</Paragraphs>
  <ScaleCrop>false</ScaleCrop>
  <Company>微软中国</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2024-03-21T16:00:00Z</dcterms:created>
  <dcterms:modified xsi:type="dcterms:W3CDTF">2024-03-21T16:00:00Z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