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76" w:rsidRDefault="008A5290">
      <w:pPr>
        <w:jc w:val="center"/>
        <w:rPr>
          <w:b/>
          <w:sz w:val="36"/>
        </w:rPr>
      </w:pPr>
      <w:bookmarkStart w:id="0" w:name="_GoBack"/>
      <w:bookmarkEnd w:id="0"/>
      <w:r>
        <w:rPr>
          <w:rFonts w:hint="eastAsia"/>
          <w:b/>
          <w:sz w:val="36"/>
        </w:rPr>
        <w:t>兴业基金管理有限公司关于旗下公开募集证券投资基金风险评价结果的通知</w:t>
      </w:r>
    </w:p>
    <w:p w:rsidR="008F3776" w:rsidRDefault="008F3776"/>
    <w:p w:rsidR="008F3776" w:rsidRDefault="008A5290">
      <w:pPr>
        <w:ind w:firstLineChars="200" w:firstLine="640"/>
        <w:rPr>
          <w:rFonts w:ascii="仿宋" w:eastAsia="仿宋"/>
          <w:sz w:val="32"/>
        </w:rPr>
      </w:pPr>
      <w:r>
        <w:rPr>
          <w:rFonts w:ascii="仿宋" w:eastAsia="仿宋" w:hint="eastAsia"/>
          <w:sz w:val="32"/>
        </w:rPr>
        <w:t>兴业基金管理有限公司（以下简称“本公司”）依据《证券期货投资者适当性管理办法》、《基金募集机构投资者适当性管理实施指引（试行）》等法规要求，以及本公司内部评级制度规定，对旗下公募基金的风险等级进行评估，目的是规范基金投资者适当性管理，维护基金投资者的利益。</w:t>
      </w:r>
    </w:p>
    <w:p w:rsidR="008F3776" w:rsidRDefault="008A5290">
      <w:pPr>
        <w:ind w:firstLine="645"/>
        <w:rPr>
          <w:rFonts w:ascii="仿宋" w:eastAsia="仿宋"/>
          <w:sz w:val="32"/>
        </w:rPr>
      </w:pPr>
      <w:r>
        <w:rPr>
          <w:rFonts w:ascii="仿宋" w:eastAsia="仿宋" w:hint="eastAsia"/>
          <w:sz w:val="32"/>
        </w:rPr>
        <w:t xml:space="preserve">本公司旗下公募基金风险评价结果以基金产品风险等级来具体反映，基金风险等级按照风险由低到高顺序，依次划分为：R1-低风险、R2-中低风险、R3-中等风险、R4-中高风险、R5-高风险五个等级。投资者可登录本公司官网查询、了解所有公募基金的风险等级及基金产品风险等级划分规则说明，或拨打本公司客服电话 </w:t>
      </w:r>
      <w:r>
        <w:rPr>
          <w:rFonts w:ascii="宋体" w:hint="eastAsia"/>
          <w:sz w:val="30"/>
          <w:szCs w:val="30"/>
        </w:rPr>
        <w:t>（400-009-5561）</w:t>
      </w:r>
      <w:r>
        <w:rPr>
          <w:rFonts w:ascii="仿宋" w:eastAsia="仿宋" w:hint="eastAsia"/>
          <w:sz w:val="32"/>
        </w:rPr>
        <w:t>咨询详情。</w:t>
      </w:r>
    </w:p>
    <w:p w:rsidR="008F3776" w:rsidRDefault="008A5290">
      <w:pPr>
        <w:ind w:firstLine="645"/>
        <w:rPr>
          <w:rFonts w:ascii="仿宋" w:eastAsia="仿宋"/>
          <w:sz w:val="32"/>
        </w:rPr>
      </w:pPr>
      <w:r>
        <w:rPr>
          <w:rFonts w:ascii="仿宋" w:eastAsia="仿宋"/>
          <w:sz w:val="32"/>
        </w:rPr>
        <w:t>本公司旗下公募基金具体风险评价结果如下：</w:t>
      </w:r>
    </w:p>
    <w:tbl>
      <w:tblPr>
        <w:tblW w:w="5000" w:type="pct"/>
        <w:jc w:val="center"/>
        <w:tblLayout w:type="fixed"/>
        <w:tblLook w:val="04A0"/>
      </w:tblPr>
      <w:tblGrid>
        <w:gridCol w:w="5093"/>
        <w:gridCol w:w="1747"/>
        <w:gridCol w:w="1682"/>
      </w:tblGrid>
      <w:tr w:rsidR="008F3776">
        <w:trPr>
          <w:trHeight w:val="270"/>
          <w:jc w:val="center"/>
        </w:trPr>
        <w:tc>
          <w:tcPr>
            <w:tcW w:w="2988" w:type="pct"/>
            <w:tcBorders>
              <w:top w:val="single" w:sz="4" w:space="0" w:color="auto"/>
              <w:left w:val="single" w:sz="4" w:space="0" w:color="auto"/>
              <w:bottom w:val="single" w:sz="4" w:space="0" w:color="auto"/>
              <w:right w:val="single" w:sz="4" w:space="0" w:color="auto"/>
            </w:tcBorders>
            <w:shd w:val="clear" w:color="auto" w:fill="auto"/>
            <w:vAlign w:val="center"/>
          </w:tcPr>
          <w:p w:rsidR="008F3776" w:rsidRDefault="008A5290">
            <w:pPr>
              <w:widowControl/>
              <w:jc w:val="center"/>
              <w:rPr>
                <w:rFonts w:ascii="仿宋" w:eastAsia="仿宋" w:cs="宋体"/>
                <w:b/>
                <w:bCs/>
                <w:kern w:val="0"/>
                <w:szCs w:val="21"/>
              </w:rPr>
            </w:pPr>
            <w:r>
              <w:rPr>
                <w:rFonts w:ascii="仿宋" w:eastAsia="仿宋" w:cs="宋体" w:hint="eastAsia"/>
                <w:b/>
                <w:bCs/>
                <w:kern w:val="0"/>
                <w:szCs w:val="21"/>
              </w:rPr>
              <w:t>基金名称</w:t>
            </w:r>
          </w:p>
        </w:tc>
        <w:tc>
          <w:tcPr>
            <w:tcW w:w="1025" w:type="pct"/>
            <w:tcBorders>
              <w:top w:val="single" w:sz="4" w:space="0" w:color="auto"/>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b/>
                <w:bCs/>
                <w:kern w:val="0"/>
                <w:szCs w:val="21"/>
              </w:rPr>
            </w:pPr>
            <w:r>
              <w:rPr>
                <w:rFonts w:ascii="仿宋" w:eastAsia="仿宋" w:cs="宋体" w:hint="eastAsia"/>
                <w:b/>
                <w:bCs/>
                <w:kern w:val="0"/>
                <w:szCs w:val="21"/>
              </w:rPr>
              <w:t>类型</w:t>
            </w:r>
          </w:p>
        </w:tc>
        <w:tc>
          <w:tcPr>
            <w:tcW w:w="987" w:type="pct"/>
            <w:tcBorders>
              <w:top w:val="single" w:sz="4" w:space="0" w:color="auto"/>
              <w:left w:val="nil"/>
              <w:bottom w:val="single" w:sz="4" w:space="0" w:color="auto"/>
              <w:right w:val="single" w:sz="4" w:space="0" w:color="auto"/>
            </w:tcBorders>
            <w:shd w:val="clear" w:color="auto" w:fill="auto"/>
            <w:vAlign w:val="center"/>
          </w:tcPr>
          <w:p w:rsidR="008F3776" w:rsidRDefault="008A5290">
            <w:pPr>
              <w:widowControl/>
              <w:jc w:val="center"/>
              <w:rPr>
                <w:rFonts w:ascii="仿宋" w:eastAsia="仿宋" w:cs="宋体"/>
                <w:b/>
                <w:bCs/>
                <w:kern w:val="0"/>
                <w:szCs w:val="21"/>
              </w:rPr>
            </w:pPr>
            <w:r>
              <w:rPr>
                <w:rFonts w:ascii="仿宋" w:eastAsia="仿宋" w:cs="宋体" w:hint="eastAsia"/>
                <w:b/>
                <w:bCs/>
                <w:kern w:val="0"/>
                <w:szCs w:val="21"/>
              </w:rPr>
              <w:t>风险评价结果</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兴业多策略灵活配置混合型发起式证券投资基金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兴业年年利定期开放债券型证券投资基金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兴业聚利灵活配置混合型证券投资基金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兴业收益增强债券型证券投资基金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兴业添利债券型证券投资基金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lastRenderedPageBreak/>
              <w:t>兴业稳固收益一年理财债券型证券投资基金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兴业稳固收益两年理财债券型证券投资基金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兴业国企改革灵活配置混合型证券投资基金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兴业丰利债券型证券投资基金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兴业短债债券型证券投资基金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兴业优债增利债券型证券投资基金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兴业丰泰债券型证券投资基金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兴业福益债券型证券投资基金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兴业聚盈混合型证券投资基金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兴业天融债券型证券投资基金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兴业聚鑫灵活配置混合型证券投资基金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兴业天禧债券型证券投资基金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兴业成长动力灵活配置混合型证券投资基金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兴业中债1-3年政策性金融债指数证券投资基金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兴业聚源混合型证券投资基金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兴业聚丰混合型证券投资基金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兴业启元一年定期开放债券型证券投资基金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中证兴业中高等级信用债指数证券投资基金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兴业裕恒债券型证券投资基金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兴业裕华债券型证券投资基金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兴业裕丰债券型证券投资基金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兴业稳康三年定期开放债券型证券投资基金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lastRenderedPageBreak/>
              <w:t>兴业福鑫债券型证券投资基金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兴业嘉瑞6个月定期开放债券型证券投资基金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兴业瑞丰6个月定期开放债券型证券投资基金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兴业6个月定期开放债券型发起式证券投资基金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兴业安弘3个月定期开放债券型发起式证券投资基金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兴业安和6个月定期开放债券型发起式证券投资基金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兴业嘉润3个月定期开放债券型发起式证券投资基金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兴业龙腾双益平衡混合型证券投资基金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兴业3个月定期开放债券型发起式证券投资基金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兴业纯债6个月定期开放债券型证券投资基金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兴业机遇债券型证券投资基金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兴业安保优选混合型证券投资基金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兴业中证银行50金融债指数证券投资基金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兴业鼎泰一年定期开放债券型发起式证券投资基金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兴业聚华混合型证券投资基金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兴业嘉华一年定期开放债券型发起式证券投资基金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兴业中证500交易型开放式指数证券投资基金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兴业绿色纯债一年定期开放债券型证券投资基金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兴业稳泰66个月定期开放债券型证券投资基金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兴业睿进混合型证券投资基金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兴业嘉荣一年定期开放债券型发起式证券投资基金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兴业沪深300交易型开放式指数证券投资基金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兴业稳健双利一年持有期债券型证券投资基金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兴业优势产业混合型证券投资基金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兴业研究精选混合型证券投资基金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兴业消费精选混合型证券投资基金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兴业聚申一年持有期混合型证券投资基金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兴业医疗保健混合型证券投资基金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兴业高端制造混合型证券投资基金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兴业兴智一年持有期混合型证券投资基金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兴业嘉福一年定期开放债券型发起式证券投资基金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兴业60天滚动持有短债债券型证券投资基金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兴业聚乾混合型证券投资基金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兴业能源革新股票型证券投资基金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兴业聚兴混合型证券投资基金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兴业一年持有期债券型证券投资基金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兴业兴睿两年持有期混合型证券投资基金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兴业嘉鸿一年定期开放债券型发起式证券投资基金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兴业90天滚动持有中短债债券型证券投资基金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兴业中证500指数增强型证券投资基金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兴业30天滚动持有中短债债券型证券投资基金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兴业180天持有期债券型证券投资基金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兴业沪深300交易型开放式指数证券投资基金发起式联接基金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兴业数字经济优选股票型证券投资基金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兴业添益6个月定期开放债券型证券投资基金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兴业致远混合型证券投资基金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兴业睿信一年定期开放债券型发起式证券投资基金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兴业120天滚动持有债券型证券投资基金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兴业聚惠混合型证券投资基金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兴业货币市场证券投资基金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货币市场型基金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R1-低风险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兴业添天盈货币市场基金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货币市场型基金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R1-低风险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兴业鑫天盈货币市场基金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货币市场型基金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R1-低风险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兴业稳天盈货币市场基金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货币市场型基金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R1-低风险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兴业安润货币市场基金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货币市场型基金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R1-低风险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兴业养老目标日期2035三年持有期混合型发起式基金中基金(FOF)</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FOF基金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兴业聚福一年持有期混合型证券投资基金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兴业中证同业存单AAA指数7天持有期证券投资基金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R1-低风险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兴业中证500交易型开放式指数证券投资基金发起式联接基金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股票型基金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兴业嘉辰一年定期开放债券型发起式证券投资基金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兴业均衡优选混合型证券投资基金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混合型基金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兴业嘉远债券型证券投资基金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兴业稳健优选6个月持有期混合型基金中基金(FOF)</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FOF基金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R3-中等风险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szCs w:val="21"/>
              </w:rPr>
              <w:t>兴业恒益6个月持有期债券型证券投资基金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r w:rsidR="008F3776">
        <w:trPr>
          <w:trHeight w:val="270"/>
          <w:jc w:val="center"/>
        </w:trPr>
        <w:tc>
          <w:tcPr>
            <w:tcW w:w="2988" w:type="pct"/>
            <w:tcBorders>
              <w:top w:val="nil"/>
              <w:left w:val="single" w:sz="4" w:space="0" w:color="auto"/>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szCs w:val="21"/>
              </w:rPr>
              <w:t>兴业稳福120天持有期债券型证券投资基金</w:t>
            </w:r>
          </w:p>
        </w:tc>
        <w:tc>
          <w:tcPr>
            <w:tcW w:w="1025"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债券型基金</w:t>
            </w:r>
          </w:p>
        </w:tc>
        <w:tc>
          <w:tcPr>
            <w:tcW w:w="987" w:type="pct"/>
            <w:tcBorders>
              <w:top w:val="nil"/>
              <w:left w:val="nil"/>
              <w:bottom w:val="single" w:sz="4" w:space="0" w:color="auto"/>
              <w:right w:val="single" w:sz="4" w:space="0" w:color="auto"/>
            </w:tcBorders>
            <w:shd w:val="clear" w:color="auto" w:fill="auto"/>
            <w:noWrap/>
            <w:vAlign w:val="center"/>
          </w:tcPr>
          <w:p w:rsidR="008F3776" w:rsidRDefault="008A5290">
            <w:pPr>
              <w:widowControl/>
              <w:jc w:val="center"/>
              <w:rPr>
                <w:rFonts w:ascii="仿宋" w:eastAsia="仿宋" w:cs="宋体"/>
                <w:kern w:val="0"/>
                <w:szCs w:val="21"/>
              </w:rPr>
            </w:pPr>
            <w:r>
              <w:rPr>
                <w:rFonts w:ascii="仿宋" w:eastAsia="仿宋" w:cs="宋体" w:hint="eastAsia"/>
                <w:kern w:val="0"/>
                <w:szCs w:val="21"/>
              </w:rPr>
              <w:t>R2-中低风险</w:t>
            </w:r>
          </w:p>
        </w:tc>
      </w:tr>
    </w:tbl>
    <w:p w:rsidR="008F3776" w:rsidRDefault="008A5290">
      <w:pPr>
        <w:rPr>
          <w:rFonts w:ascii="仿宋" w:eastAsia="仿宋"/>
          <w:b/>
          <w:sz w:val="32"/>
        </w:rPr>
      </w:pPr>
      <w:r>
        <w:rPr>
          <w:rFonts w:ascii="仿宋" w:eastAsia="仿宋" w:cs="Times New Roman" w:hint="eastAsia"/>
          <w:b/>
          <w:sz w:val="22"/>
        </w:rPr>
        <w:t>注：上表不包含已终止运作的基金。</w:t>
      </w:r>
    </w:p>
    <w:p w:rsidR="008F3776" w:rsidRDefault="008A5290">
      <w:pPr>
        <w:rPr>
          <w:rFonts w:ascii="仿宋" w:eastAsia="仿宋"/>
          <w:b/>
          <w:sz w:val="32"/>
        </w:rPr>
      </w:pPr>
      <w:r>
        <w:rPr>
          <w:rFonts w:ascii="仿宋" w:eastAsia="仿宋" w:hint="eastAsia"/>
          <w:b/>
          <w:sz w:val="32"/>
        </w:rPr>
        <w:t>风险提示：</w:t>
      </w:r>
    </w:p>
    <w:p w:rsidR="008F3776" w:rsidRDefault="008A5290">
      <w:pPr>
        <w:ind w:firstLine="636"/>
        <w:rPr>
          <w:rFonts w:ascii="仿宋" w:eastAsia="仿宋"/>
          <w:sz w:val="32"/>
        </w:rPr>
      </w:pPr>
      <w:r>
        <w:rPr>
          <w:rFonts w:ascii="仿宋" w:eastAsia="仿宋" w:hint="eastAsia"/>
          <w:sz w:val="32"/>
        </w:rPr>
        <w:t>1、公司旗下基金产品R1-R5的风险等级评级结果是根据法律法规、本公司内部评级标准评定，充分考虑了基金持仓、最大回撤、波动率、基金规模、结构复杂性等多种要素，与相关基金合同、招募说明书（如有）、产品资料概要（如有）中的风险收益特征或风险状况主要基于基金投资方向与策略特点的概括性表述不同，并与风险收益特征或风险状况表述并不必然一致或存在对应关系。</w:t>
      </w:r>
    </w:p>
    <w:p w:rsidR="008F3776" w:rsidRDefault="008A5290">
      <w:pPr>
        <w:ind w:firstLine="636"/>
        <w:rPr>
          <w:rFonts w:ascii="仿宋" w:eastAsia="仿宋"/>
          <w:sz w:val="32"/>
        </w:rPr>
      </w:pPr>
      <w:r>
        <w:rPr>
          <w:rFonts w:ascii="仿宋" w:eastAsia="仿宋"/>
          <w:sz w:val="32"/>
        </w:rPr>
        <w:t>2</w:t>
      </w:r>
      <w:r>
        <w:rPr>
          <w:rFonts w:ascii="仿宋" w:eastAsia="仿宋" w:hint="eastAsia"/>
          <w:sz w:val="32"/>
        </w:rPr>
        <w:t>、销售机构(包括基金管理人直销机构和代销机构)根据投资者适当性法律法规对基金进行风险评价，不同的销售机构采用的评价方法不同，因此不同销售机构对基金的风险等级评价结果可能存在不同。</w:t>
      </w:r>
    </w:p>
    <w:p w:rsidR="008F3776" w:rsidRDefault="008A5290">
      <w:pPr>
        <w:rPr>
          <w:rFonts w:ascii="仿宋" w:eastAsia="仿宋"/>
          <w:sz w:val="32"/>
        </w:rPr>
      </w:pPr>
      <w:r>
        <w:rPr>
          <w:rFonts w:ascii="仿宋" w:eastAsia="仿宋" w:hint="eastAsia"/>
          <w:sz w:val="32"/>
        </w:rPr>
        <w:t xml:space="preserve">　　</w:t>
      </w:r>
      <w:r>
        <w:rPr>
          <w:rFonts w:ascii="仿宋" w:eastAsia="仿宋"/>
          <w:sz w:val="32"/>
        </w:rPr>
        <w:t>3</w:t>
      </w:r>
      <w:r>
        <w:rPr>
          <w:rFonts w:ascii="仿宋" w:eastAsia="仿宋" w:hint="eastAsia"/>
          <w:sz w:val="32"/>
        </w:rPr>
        <w:t>、投资者购买基金后，所购买的基金产品风险等级可能因市场或运作情况等影响而发生调整，并可能超出投资者自身风险承受能力，从而可能产生不利后果和损失。投资者应及时关注基金风险等级的变化并谨慎决策，以确保自身的投资决策与风险承受能力相匹配。</w:t>
      </w:r>
    </w:p>
    <w:p w:rsidR="008F3776" w:rsidRDefault="008A5290">
      <w:pPr>
        <w:rPr>
          <w:rFonts w:ascii="仿宋" w:eastAsia="仿宋"/>
          <w:sz w:val="32"/>
        </w:rPr>
      </w:pPr>
      <w:r>
        <w:rPr>
          <w:rFonts w:ascii="仿宋" w:eastAsia="仿宋" w:hint="eastAsia"/>
          <w:sz w:val="32"/>
        </w:rPr>
        <w:t xml:space="preserve">　　</w:t>
      </w:r>
      <w:r>
        <w:rPr>
          <w:rFonts w:ascii="仿宋" w:eastAsia="仿宋"/>
          <w:sz w:val="32"/>
        </w:rPr>
        <w:t>4</w:t>
      </w:r>
      <w:r>
        <w:rPr>
          <w:rFonts w:ascii="仿宋" w:eastAsia="仿宋" w:hint="eastAsia"/>
          <w:sz w:val="32"/>
        </w:rPr>
        <w:t>、基金管理人承诺以诚实信用、勤勉尽责的原则管理和运用基金资产，但不保证基金一定盈利，也不保证最低收益。投资者投资前应认真阅读基金合同和招募说明书等法律文件，了解基金的风险收益特征，根据自身的风险承受能力审慎决策，独立承担投资风险。</w:t>
      </w:r>
    </w:p>
    <w:p w:rsidR="008F3776" w:rsidRDefault="008F3776">
      <w:pPr>
        <w:rPr>
          <w:rFonts w:ascii="仿宋" w:eastAsia="仿宋"/>
          <w:sz w:val="32"/>
        </w:rPr>
      </w:pPr>
    </w:p>
    <w:p w:rsidR="008F3776" w:rsidRDefault="008A5290">
      <w:pPr>
        <w:jc w:val="right"/>
        <w:rPr>
          <w:rFonts w:ascii="仿宋" w:eastAsia="仿宋"/>
          <w:sz w:val="32"/>
        </w:rPr>
      </w:pPr>
      <w:r>
        <w:rPr>
          <w:rFonts w:ascii="仿宋" w:eastAsia="仿宋" w:hint="eastAsia"/>
          <w:sz w:val="32"/>
        </w:rPr>
        <w:t>兴业基金管理有限公司</w:t>
      </w:r>
    </w:p>
    <w:p w:rsidR="008F3776" w:rsidRDefault="008A5290">
      <w:pPr>
        <w:jc w:val="right"/>
        <w:rPr>
          <w:rFonts w:ascii="仿宋" w:eastAsia="仿宋"/>
          <w:sz w:val="32"/>
        </w:rPr>
      </w:pPr>
      <w:r>
        <w:rPr>
          <w:rFonts w:ascii="仿宋" w:eastAsia="仿宋" w:hint="eastAsia"/>
          <w:sz w:val="32"/>
        </w:rPr>
        <w:t>202</w:t>
      </w:r>
      <w:r>
        <w:rPr>
          <w:rFonts w:ascii="仿宋" w:eastAsia="仿宋"/>
          <w:sz w:val="32"/>
        </w:rPr>
        <w:t>4</w:t>
      </w:r>
      <w:r>
        <w:rPr>
          <w:rFonts w:ascii="仿宋" w:eastAsia="仿宋" w:hint="eastAsia"/>
          <w:sz w:val="32"/>
        </w:rPr>
        <w:t>年3月21日</w:t>
      </w:r>
    </w:p>
    <w:sectPr w:rsidR="008F3776" w:rsidSect="0090254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90" w:rsidRDefault="008A5290" w:rsidP="00FF2ADA">
      <w:r>
        <w:separator/>
      </w:r>
    </w:p>
  </w:endnote>
  <w:endnote w:type="continuationSeparator" w:id="0">
    <w:p w:rsidR="008A5290" w:rsidRDefault="008A5290" w:rsidP="00FF2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90" w:rsidRDefault="008A5290" w:rsidP="00FF2ADA">
      <w:r>
        <w:separator/>
      </w:r>
    </w:p>
  </w:footnote>
  <w:footnote w:type="continuationSeparator" w:id="0">
    <w:p w:rsidR="008A5290" w:rsidRDefault="008A5290" w:rsidP="00FF2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8F3776"/>
    <w:rsid w:val="00304340"/>
    <w:rsid w:val="008A5290"/>
    <w:rsid w:val="008F3776"/>
    <w:rsid w:val="00902541"/>
    <w:rsid w:val="00FF2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41"/>
    <w:pPr>
      <w:widowControl w:val="0"/>
      <w:jc w:val="both"/>
    </w:pPr>
    <w:rPr>
      <w:rFonts w:ascii="Calibri" w:hAnsi="Calibri" w:cs="Arial"/>
      <w:kern w:val="2"/>
      <w:sz w:val="21"/>
      <w:szCs w:val="22"/>
    </w:rPr>
  </w:style>
  <w:style w:type="paragraph" w:styleId="1">
    <w:name w:val="heading 1"/>
    <w:basedOn w:val="a"/>
    <w:next w:val="a"/>
    <w:uiPriority w:val="9"/>
    <w:qFormat/>
    <w:rsid w:val="00902541"/>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rsid w:val="00902541"/>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rsid w:val="00902541"/>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2541"/>
    <w:pPr>
      <w:pBdr>
        <w:bottom w:val="single" w:sz="6" w:space="1" w:color="auto"/>
      </w:pBdr>
      <w:tabs>
        <w:tab w:val="center" w:pos="4153"/>
        <w:tab w:val="right" w:pos="8306"/>
      </w:tabs>
      <w:snapToGrid w:val="0"/>
      <w:jc w:val="center"/>
    </w:pPr>
    <w:rPr>
      <w:sz w:val="18"/>
      <w:szCs w:val="18"/>
    </w:rPr>
  </w:style>
  <w:style w:type="paragraph" w:styleId="a4">
    <w:name w:val="footer"/>
    <w:basedOn w:val="a"/>
    <w:rsid w:val="00902541"/>
    <w:pPr>
      <w:tabs>
        <w:tab w:val="center" w:pos="4153"/>
        <w:tab w:val="right" w:pos="8306"/>
      </w:tabs>
      <w:snapToGrid w:val="0"/>
      <w:jc w:val="left"/>
    </w:pPr>
    <w:rPr>
      <w:sz w:val="18"/>
      <w:szCs w:val="18"/>
    </w:rPr>
  </w:style>
  <w:style w:type="paragraph" w:styleId="a5">
    <w:name w:val="Balloon Text"/>
    <w:basedOn w:val="a"/>
    <w:rsid w:val="00902541"/>
    <w:rPr>
      <w:sz w:val="18"/>
      <w:szCs w:val="18"/>
    </w:rPr>
  </w:style>
  <w:style w:type="paragraph" w:styleId="a6">
    <w:name w:val="List Paragraph"/>
    <w:basedOn w:val="a"/>
    <w:rsid w:val="00902541"/>
    <w:pPr>
      <w:ind w:firstLineChars="200" w:firstLine="200"/>
    </w:pPr>
  </w:style>
  <w:style w:type="paragraph" w:customStyle="1" w:styleId="10">
    <w:name w:val="修订1"/>
    <w:rsid w:val="00902541"/>
    <w:rPr>
      <w:rFonts w:ascii="Calibri" w:hAnsi="Calibri" w:cs="Arial"/>
      <w:kern w:val="2"/>
      <w:sz w:val="21"/>
      <w:szCs w:val="22"/>
    </w:rPr>
  </w:style>
  <w:style w:type="paragraph" w:styleId="11">
    <w:name w:val="toc 1"/>
    <w:basedOn w:val="a"/>
    <w:next w:val="a"/>
    <w:autoRedefine/>
    <w:rsid w:val="00902541"/>
  </w:style>
  <w:style w:type="paragraph" w:styleId="20">
    <w:name w:val="toc 2"/>
    <w:basedOn w:val="a"/>
    <w:next w:val="a"/>
    <w:autoRedefine/>
    <w:rsid w:val="00902541"/>
    <w:pPr>
      <w:ind w:left="420"/>
    </w:pPr>
  </w:style>
  <w:style w:type="paragraph" w:styleId="30">
    <w:name w:val="toc 3"/>
    <w:basedOn w:val="a"/>
    <w:next w:val="a"/>
    <w:autoRedefine/>
    <w:rsid w:val="00902541"/>
    <w:pPr>
      <w:ind w:left="840"/>
    </w:pPr>
  </w:style>
  <w:style w:type="paragraph" w:styleId="4">
    <w:name w:val="toc 4"/>
    <w:basedOn w:val="a"/>
    <w:next w:val="a"/>
    <w:autoRedefine/>
    <w:rsid w:val="00902541"/>
    <w:pPr>
      <w:ind w:left="1260"/>
    </w:pPr>
  </w:style>
  <w:style w:type="paragraph" w:styleId="5">
    <w:name w:val="toc 5"/>
    <w:basedOn w:val="a"/>
    <w:next w:val="a"/>
    <w:autoRedefine/>
    <w:rsid w:val="00902541"/>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Office Word</Application>
  <DocSecurity>4</DocSecurity>
  <Lines>28</Lines>
  <Paragraphs>8</Paragraphs>
  <ScaleCrop>false</ScaleCrop>
  <Company>cib-fund</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林颖</dc:creator>
  <cp:lastModifiedBy>ZHONGM</cp:lastModifiedBy>
  <cp:revision>2</cp:revision>
  <dcterms:created xsi:type="dcterms:W3CDTF">2024-03-20T16:02:00Z</dcterms:created>
  <dcterms:modified xsi:type="dcterms:W3CDTF">2024-03-20T16:02:00Z</dcterms:modified>
</cp:coreProperties>
</file>