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B3C" w:rsidRPr="009A6F27" w:rsidRDefault="009A6F27">
      <w:pPr>
        <w:pStyle w:val="div"/>
        <w:wordWrap w:val="0"/>
        <w:spacing w:line="360" w:lineRule="auto"/>
        <w:jc w:val="center"/>
        <w:rPr>
          <w:rFonts w:ascii="黑体" w:eastAsia="黑体" w:hAnsi="黑体" w:cs="黑体"/>
          <w:kern w:val="0"/>
          <w:sz w:val="36"/>
          <w:szCs w:val="36"/>
        </w:rPr>
      </w:pPr>
      <w:r w:rsidRPr="009A6F27">
        <w:rPr>
          <w:rFonts w:ascii="黑体" w:eastAsia="黑体" w:hAnsi="黑体" w:cs="黑体"/>
          <w:kern w:val="0"/>
          <w:sz w:val="36"/>
          <w:szCs w:val="36"/>
        </w:rPr>
        <w:t>国联中债1-5年国开行债券指数证券投资基金</w:t>
      </w:r>
    </w:p>
    <w:p w:rsidR="009A0B3C" w:rsidRPr="009A6F27" w:rsidRDefault="009A6F27">
      <w:pPr>
        <w:pStyle w:val="div"/>
        <w:wordWrap w:val="0"/>
        <w:spacing w:line="360" w:lineRule="auto"/>
        <w:jc w:val="center"/>
        <w:rPr>
          <w:rFonts w:ascii="黑体" w:eastAsia="黑体" w:hAnsi="黑体" w:cs="黑体"/>
          <w:kern w:val="0"/>
          <w:sz w:val="36"/>
          <w:szCs w:val="36"/>
        </w:rPr>
      </w:pPr>
      <w:r w:rsidRPr="009A6F27">
        <w:rPr>
          <w:rFonts w:ascii="黑体" w:eastAsia="黑体" w:hAnsi="黑体" w:cs="黑体"/>
          <w:kern w:val="0"/>
          <w:sz w:val="36"/>
          <w:szCs w:val="36"/>
        </w:rPr>
        <w:t>2024年第一次分红公告</w:t>
      </w:r>
    </w:p>
    <w:p w:rsidR="009A0B3C" w:rsidRPr="009A6F27" w:rsidRDefault="009A6F27">
      <w:pPr>
        <w:pStyle w:val="div"/>
        <w:wordWrap w:val="0"/>
        <w:spacing w:line="360" w:lineRule="auto"/>
        <w:jc w:val="center"/>
        <w:rPr>
          <w:rFonts w:ascii="仿宋" w:eastAsia="仿宋" w:hAnsi="仿宋" w:cs="FangSong"/>
          <w:kern w:val="0"/>
          <w:sz w:val="28"/>
          <w:szCs w:val="32"/>
        </w:rPr>
      </w:pPr>
      <w:r w:rsidRPr="009A6F27">
        <w:rPr>
          <w:rFonts w:ascii="仿宋" w:eastAsia="仿宋" w:hAnsi="仿宋" w:cs="FangSong"/>
          <w:kern w:val="0"/>
          <w:sz w:val="28"/>
          <w:szCs w:val="32"/>
        </w:rPr>
        <w:t>公告送出日期：</w:t>
      </w:r>
      <w:r w:rsidRPr="009A6F27">
        <w:rPr>
          <w:rStyle w:val="custom"/>
          <w:rFonts w:ascii="仿宋" w:eastAsia="仿宋" w:hAnsi="仿宋" w:cs="FangSong"/>
          <w:kern w:val="0"/>
          <w:sz w:val="28"/>
          <w:szCs w:val="32"/>
        </w:rPr>
        <w:t>2024年03月21日</w:t>
      </w:r>
      <w:r w:rsidRPr="009A6F27">
        <w:rPr>
          <w:rFonts w:ascii="Calibri" w:eastAsia="仿宋" w:hAnsi="Calibri" w:cs="Calibri"/>
          <w:kern w:val="0"/>
          <w:sz w:val="28"/>
          <w:szCs w:val="32"/>
        </w:rPr>
        <w:t> </w:t>
      </w:r>
    </w:p>
    <w:p w:rsidR="009A0B3C" w:rsidRPr="009A6F27" w:rsidRDefault="009A0B3C">
      <w:pPr>
        <w:pStyle w:val="p"/>
        <w:widowControl/>
        <w:wordWrap w:val="0"/>
        <w:jc w:val="left"/>
        <w:rPr>
          <w:rFonts w:ascii="仿宋" w:eastAsia="仿宋" w:hAnsi="仿宋" w:cs="FangSong"/>
          <w:kern w:val="0"/>
          <w:sz w:val="32"/>
          <w:szCs w:val="32"/>
        </w:rPr>
      </w:pPr>
    </w:p>
    <w:p w:rsidR="009A0B3C" w:rsidRPr="009A6F27" w:rsidRDefault="009A6F27">
      <w:pPr>
        <w:pStyle w:val="div"/>
        <w:wordWrap w:val="0"/>
        <w:spacing w:line="360" w:lineRule="auto"/>
        <w:ind w:firstLine="630"/>
        <w:rPr>
          <w:rFonts w:ascii="仿宋" w:eastAsia="仿宋" w:hAnsi="仿宋" w:cs="FangSong"/>
          <w:kern w:val="0"/>
          <w:sz w:val="32"/>
          <w:szCs w:val="32"/>
        </w:rPr>
      </w:pPr>
      <w:r w:rsidRPr="009A6F27">
        <w:rPr>
          <w:rFonts w:ascii="仿宋" w:eastAsia="仿宋" w:hAnsi="仿宋" w:cs="FangSong"/>
          <w:b/>
          <w:bCs/>
          <w:kern w:val="0"/>
          <w:sz w:val="32"/>
          <w:szCs w:val="32"/>
        </w:rPr>
        <w:t>1．公告基本信息</w:t>
      </w:r>
    </w:p>
    <w:tbl>
      <w:tblPr>
        <w:tblStyle w:val="tableTable"/>
        <w:tblW w:w="5863"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955"/>
        <w:gridCol w:w="2295"/>
        <w:gridCol w:w="2295"/>
        <w:gridCol w:w="2263"/>
        <w:gridCol w:w="2192"/>
      </w:tblGrid>
      <w:tr w:rsidR="009A0B3C" w:rsidRPr="009A6F27" w:rsidTr="00D84978">
        <w:trPr>
          <w:trHeight w:val="270"/>
          <w:jc w:val="center"/>
        </w:trPr>
        <w:tc>
          <w:tcPr>
            <w:tcW w:w="3320" w:type="dxa"/>
            <w:gridSpan w:val="2"/>
            <w:tcBorders>
              <w:top w:val="single" w:sz="8" w:space="0" w:color="000000"/>
              <w:bottom w:val="single" w:sz="8" w:space="0" w:color="000000"/>
              <w:right w:val="single" w:sz="8" w:space="0" w:color="000000"/>
            </w:tcBorders>
            <w:tcMar>
              <w:top w:w="136"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基金名称</w:t>
            </w:r>
          </w:p>
        </w:tc>
        <w:tc>
          <w:tcPr>
            <w:tcW w:w="6396" w:type="dxa"/>
            <w:gridSpan w:val="3"/>
            <w:tcBorders>
              <w:top w:val="single" w:sz="8" w:space="0" w:color="000000"/>
              <w:left w:val="single" w:sz="8" w:space="0" w:color="000000"/>
              <w:bottom w:val="single" w:sz="8" w:space="0" w:color="000000"/>
            </w:tcBorders>
            <w:tcMar>
              <w:top w:w="136"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国联中债1-5年国开行债券指数证券投资基金</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基金简称</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国联中债1-5年国开行</w:t>
            </w:r>
          </w:p>
        </w:tc>
      </w:tr>
      <w:tr w:rsidR="009A0B3C" w:rsidRPr="009A6F27" w:rsidTr="00D84978">
        <w:trPr>
          <w:trHeight w:val="296"/>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基金主代码</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009529</w:t>
            </w:r>
          </w:p>
        </w:tc>
      </w:tr>
      <w:tr w:rsidR="009A0B3C" w:rsidRPr="009A6F27" w:rsidTr="00D84978">
        <w:trPr>
          <w:trHeight w:val="296"/>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基金合同生效日</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2020年06月11日</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基金管理人名称</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国联基金管理有限公司</w:t>
            </w:r>
          </w:p>
        </w:tc>
      </w:tr>
      <w:tr w:rsidR="009A0B3C" w:rsidRPr="009A6F27" w:rsidTr="00D84978">
        <w:trPr>
          <w:trHeight w:val="296"/>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基金托管人名称</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兴业银行股份有限公司</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公告依据</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jc w:val="left"/>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《公开募集证券投资基金信息披露管理办法》、《国联中债1-5年国开行债券指数证券投资基金基金合同》、《国联中债1-5年国开行债券指数证券投资基金招募说明书》</w:t>
            </w:r>
          </w:p>
        </w:tc>
      </w:tr>
      <w:tr w:rsidR="009A0B3C" w:rsidRPr="009A6F27" w:rsidTr="00D84978">
        <w:trPr>
          <w:trHeight w:val="296"/>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收益分配基准日</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2024年03月18日</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有关年度分红次数的说明</w:t>
            </w:r>
          </w:p>
        </w:tc>
        <w:tc>
          <w:tcPr>
            <w:tcW w:w="6396" w:type="dxa"/>
            <w:gridSpan w:val="3"/>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本次分红为2024年第一次分红</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lastRenderedPageBreak/>
              <w:t>下属基金份额类别的基金简称</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国联中债1-5年国开行A</w:t>
            </w:r>
          </w:p>
        </w:tc>
        <w:tc>
          <w:tcPr>
            <w:tcW w:w="1887"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国联中债1-5年国开行</w:t>
            </w:r>
            <w:r>
              <w:rPr>
                <w:rFonts w:ascii="仿宋" w:eastAsia="仿宋" w:hAnsi="仿宋" w:cs="FangSong"/>
                <w:color w:val="000000"/>
                <w:kern w:val="0"/>
                <w:sz w:val="32"/>
                <w:szCs w:val="32"/>
              </w:rPr>
              <w:t>B</w:t>
            </w:r>
          </w:p>
        </w:tc>
        <w:tc>
          <w:tcPr>
            <w:tcW w:w="2213" w:type="dxa"/>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国联中债1-5年国开行</w:t>
            </w:r>
            <w:r>
              <w:rPr>
                <w:rFonts w:ascii="仿宋" w:eastAsia="仿宋" w:hAnsi="仿宋" w:cs="FangSong"/>
                <w:color w:val="000000"/>
                <w:kern w:val="0"/>
                <w:sz w:val="32"/>
                <w:szCs w:val="32"/>
              </w:rPr>
              <w:t>C</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下属基金份额类别的交易代码</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009529</w:t>
            </w:r>
          </w:p>
        </w:tc>
        <w:tc>
          <w:tcPr>
            <w:tcW w:w="1887"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6F27"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020215</w:t>
            </w:r>
          </w:p>
        </w:tc>
        <w:tc>
          <w:tcPr>
            <w:tcW w:w="2213" w:type="dxa"/>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009530</w:t>
            </w:r>
          </w:p>
        </w:tc>
      </w:tr>
      <w:tr w:rsidR="009A0B3C" w:rsidRPr="009A6F27" w:rsidTr="00D84978">
        <w:trPr>
          <w:trHeight w:val="312"/>
          <w:jc w:val="center"/>
        </w:trPr>
        <w:tc>
          <w:tcPr>
            <w:tcW w:w="971" w:type="dxa"/>
            <w:vMerge w:val="restart"/>
            <w:tcBorders>
              <w:top w:val="single" w:sz="8" w:space="0" w:color="000000"/>
              <w:bottom w:val="single" w:sz="8" w:space="0" w:color="000000"/>
              <w:right w:val="single" w:sz="8" w:space="0" w:color="000000"/>
            </w:tcBorders>
            <w:tcMar>
              <w:top w:w="134" w:type="dxa"/>
              <w:left w:w="111"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截止基准日下属基金份额类别的相关指标</w:t>
            </w:r>
          </w:p>
        </w:tc>
        <w:tc>
          <w:tcPr>
            <w:tcW w:w="2349"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基准日下属基金份额类别份额净值（单位：人民币元）</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1.0730</w:t>
            </w:r>
          </w:p>
        </w:tc>
        <w:tc>
          <w:tcPr>
            <w:tcW w:w="1887"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6F27"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1.0722</w:t>
            </w:r>
          </w:p>
        </w:tc>
        <w:tc>
          <w:tcPr>
            <w:tcW w:w="2213" w:type="dxa"/>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1.0694</w:t>
            </w:r>
          </w:p>
        </w:tc>
      </w:tr>
      <w:tr w:rsidR="009A0B3C" w:rsidRPr="009A6F27" w:rsidTr="00D84978">
        <w:trPr>
          <w:trHeight w:val="312"/>
          <w:jc w:val="center"/>
        </w:trPr>
        <w:tc>
          <w:tcPr>
            <w:tcW w:w="971" w:type="dxa"/>
            <w:vMerge/>
            <w:tcBorders>
              <w:top w:val="single" w:sz="8" w:space="0" w:color="000000"/>
              <w:bottom w:val="single" w:sz="8" w:space="0" w:color="000000"/>
              <w:right w:val="single" w:sz="8" w:space="0" w:color="000000"/>
            </w:tcBorders>
            <w:vAlign w:val="center"/>
            <w:hideMark/>
          </w:tcPr>
          <w:p w:rsidR="009A0B3C" w:rsidRPr="009A6F27" w:rsidRDefault="009A0B3C">
            <w:pPr>
              <w:rPr>
                <w:rFonts w:ascii="仿宋" w:eastAsia="仿宋" w:hAnsi="仿宋" w:cs="FangSong"/>
                <w:color w:val="000000"/>
                <w:kern w:val="0"/>
                <w:sz w:val="32"/>
                <w:szCs w:val="32"/>
              </w:rPr>
            </w:pPr>
          </w:p>
        </w:tc>
        <w:tc>
          <w:tcPr>
            <w:tcW w:w="2349"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基准日下属基金份额类别可供分配利润（单位：人民币元）</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88,334,148.81</w:t>
            </w:r>
          </w:p>
        </w:tc>
        <w:tc>
          <w:tcPr>
            <w:tcW w:w="1887"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6F27"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11,883,960.51</w:t>
            </w:r>
          </w:p>
        </w:tc>
        <w:tc>
          <w:tcPr>
            <w:tcW w:w="2213" w:type="dxa"/>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rsidP="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19,124.39</w:t>
            </w:r>
          </w:p>
        </w:tc>
      </w:tr>
      <w:tr w:rsidR="009A0B3C" w:rsidRPr="009A6F27" w:rsidTr="00D84978">
        <w:trPr>
          <w:trHeight w:val="312"/>
          <w:jc w:val="center"/>
        </w:trPr>
        <w:tc>
          <w:tcPr>
            <w:tcW w:w="971" w:type="dxa"/>
            <w:vMerge/>
            <w:tcBorders>
              <w:top w:val="single" w:sz="8" w:space="0" w:color="000000"/>
              <w:bottom w:val="single" w:sz="8" w:space="0" w:color="000000"/>
              <w:right w:val="single" w:sz="8" w:space="0" w:color="000000"/>
            </w:tcBorders>
            <w:vAlign w:val="center"/>
            <w:hideMark/>
          </w:tcPr>
          <w:p w:rsidR="009A0B3C" w:rsidRPr="009A6F27" w:rsidRDefault="009A0B3C">
            <w:pPr>
              <w:rPr>
                <w:rFonts w:ascii="仿宋" w:eastAsia="仿宋" w:hAnsi="仿宋" w:cs="FangSong"/>
                <w:color w:val="000000"/>
                <w:kern w:val="0"/>
                <w:sz w:val="32"/>
                <w:szCs w:val="32"/>
              </w:rPr>
            </w:pPr>
          </w:p>
        </w:tc>
        <w:tc>
          <w:tcPr>
            <w:tcW w:w="2349"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截止基准日按照基金合同约定的分红比例计算的下属基金份额类别应分配金额（单位：人民币元）</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4"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w:t>
            </w:r>
          </w:p>
        </w:tc>
        <w:tc>
          <w:tcPr>
            <w:tcW w:w="1887" w:type="dxa"/>
            <w:tcBorders>
              <w:top w:val="single" w:sz="8" w:space="0" w:color="000000"/>
              <w:left w:val="single" w:sz="8" w:space="0" w:color="000000"/>
              <w:bottom w:val="single" w:sz="8" w:space="0" w:color="000000"/>
              <w:right w:val="single" w:sz="8" w:space="0" w:color="000000"/>
            </w:tcBorders>
            <w:tcMar>
              <w:top w:w="136" w:type="dxa"/>
              <w:left w:w="136" w:type="dxa"/>
              <w:bottom w:w="136" w:type="dxa"/>
              <w:right w:w="136" w:type="dxa"/>
            </w:tcMar>
            <w:vAlign w:val="center"/>
            <w:hideMark/>
          </w:tcPr>
          <w:p w:rsidR="009A0B3C" w:rsidRPr="009A6F27" w:rsidRDefault="009A6F27" w:rsidP="009A6F27">
            <w:pPr>
              <w:widowControl/>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w:t>
            </w:r>
          </w:p>
        </w:tc>
        <w:tc>
          <w:tcPr>
            <w:tcW w:w="2213" w:type="dxa"/>
            <w:tcBorders>
              <w:top w:val="single" w:sz="8" w:space="0" w:color="000000"/>
              <w:left w:val="single" w:sz="8" w:space="0" w:color="000000"/>
              <w:bottom w:val="single" w:sz="8" w:space="0" w:color="000000"/>
            </w:tcBorders>
            <w:tcMar>
              <w:top w:w="134" w:type="dxa"/>
              <w:left w:w="108" w:type="dxa"/>
              <w:bottom w:w="134" w:type="dxa"/>
              <w:right w:w="111"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w:t>
            </w:r>
          </w:p>
        </w:tc>
      </w:tr>
      <w:tr w:rsidR="009A0B3C" w:rsidRPr="009A6F27" w:rsidTr="00D84978">
        <w:trPr>
          <w:trHeight w:val="312"/>
          <w:jc w:val="center"/>
        </w:trPr>
        <w:tc>
          <w:tcPr>
            <w:tcW w:w="3320" w:type="dxa"/>
            <w:gridSpan w:val="2"/>
            <w:tcBorders>
              <w:top w:val="single" w:sz="8" w:space="0" w:color="000000"/>
              <w:bottom w:val="single" w:sz="8" w:space="0" w:color="000000"/>
              <w:right w:val="single" w:sz="8" w:space="0" w:color="000000"/>
            </w:tcBorders>
            <w:tcMar>
              <w:top w:w="134" w:type="dxa"/>
              <w:left w:w="111" w:type="dxa"/>
              <w:bottom w:w="136" w:type="dxa"/>
              <w:right w:w="108" w:type="dxa"/>
            </w:tcMar>
            <w:vAlign w:val="center"/>
            <w:hideMark/>
          </w:tcPr>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lastRenderedPageBreak/>
              <w:t>本次下属基金份额类别分红方案</w:t>
            </w:r>
          </w:p>
          <w:p w:rsidR="009A0B3C" w:rsidRPr="009A6F27" w:rsidRDefault="009A6F27">
            <w:pPr>
              <w:pStyle w:val="div"/>
              <w:spacing w:line="360" w:lineRule="auto"/>
              <w:ind w:firstLine="200"/>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（单位：元/10份基金份额）</w:t>
            </w:r>
          </w:p>
        </w:tc>
        <w:tc>
          <w:tcPr>
            <w:tcW w:w="2296" w:type="dxa"/>
            <w:tcBorders>
              <w:top w:val="single" w:sz="8" w:space="0" w:color="000000"/>
              <w:left w:val="single" w:sz="8" w:space="0" w:color="000000"/>
              <w:bottom w:val="single" w:sz="8" w:space="0" w:color="000000"/>
              <w:right w:val="single" w:sz="8" w:space="0" w:color="000000"/>
            </w:tcBorders>
            <w:tcMar>
              <w:top w:w="134" w:type="dxa"/>
              <w:left w:w="108" w:type="dxa"/>
              <w:bottom w:w="136" w:type="dxa"/>
              <w:right w:w="108"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0.2</w:t>
            </w:r>
          </w:p>
        </w:tc>
        <w:tc>
          <w:tcPr>
            <w:tcW w:w="1887" w:type="dxa"/>
            <w:tcBorders>
              <w:top w:val="single" w:sz="8" w:space="0" w:color="000000"/>
              <w:left w:val="single" w:sz="8" w:space="0" w:color="000000"/>
              <w:bottom w:val="single" w:sz="8" w:space="0" w:color="000000"/>
              <w:right w:val="single" w:sz="8" w:space="0" w:color="000000"/>
            </w:tcBorders>
            <w:tcMar>
              <w:top w:w="136" w:type="dxa"/>
              <w:left w:w="136" w:type="dxa"/>
              <w:bottom w:w="136" w:type="dxa"/>
              <w:right w:w="136" w:type="dxa"/>
            </w:tcMar>
            <w:vAlign w:val="center"/>
            <w:hideMark/>
          </w:tcPr>
          <w:p w:rsidR="009A0B3C" w:rsidRPr="009A6F27" w:rsidRDefault="009A6F27" w:rsidP="00D84978">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w:t>
            </w:r>
            <w:r>
              <w:rPr>
                <w:rFonts w:ascii="仿宋" w:eastAsia="仿宋" w:hAnsi="仿宋" w:cs="FangSong" w:hint="eastAsia"/>
                <w:color w:val="000000"/>
                <w:kern w:val="0"/>
                <w:sz w:val="32"/>
                <w:szCs w:val="32"/>
              </w:rPr>
              <w:t>.</w:t>
            </w:r>
            <w:r>
              <w:rPr>
                <w:rFonts w:ascii="仿宋" w:eastAsia="仿宋" w:hAnsi="仿宋" w:cs="FangSong"/>
                <w:color w:val="000000"/>
                <w:kern w:val="0"/>
                <w:sz w:val="32"/>
                <w:szCs w:val="32"/>
              </w:rPr>
              <w:t>2</w:t>
            </w:r>
          </w:p>
        </w:tc>
        <w:tc>
          <w:tcPr>
            <w:tcW w:w="2213" w:type="dxa"/>
            <w:tcBorders>
              <w:top w:val="single" w:sz="8" w:space="0" w:color="000000"/>
              <w:left w:val="single" w:sz="8" w:space="0" w:color="000000"/>
              <w:bottom w:val="single" w:sz="8" w:space="0" w:color="000000"/>
            </w:tcBorders>
            <w:tcMar>
              <w:top w:w="134" w:type="dxa"/>
              <w:left w:w="108" w:type="dxa"/>
              <w:bottom w:w="136" w:type="dxa"/>
              <w:right w:w="111" w:type="dxa"/>
            </w:tcMar>
            <w:vAlign w:val="center"/>
            <w:hideMark/>
          </w:tcPr>
          <w:p w:rsidR="009A0B3C" w:rsidRPr="009A6F27" w:rsidRDefault="009A6F27">
            <w:pPr>
              <w:pStyle w:val="div"/>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0.2</w:t>
            </w:r>
          </w:p>
        </w:tc>
      </w:tr>
    </w:tbl>
    <w:p w:rsidR="009A0B3C" w:rsidRPr="009A6F27" w:rsidRDefault="009A0B3C">
      <w:pPr>
        <w:wordWrap w:val="0"/>
        <w:autoSpaceDE w:val="0"/>
        <w:autoSpaceDN w:val="0"/>
        <w:adjustRightInd w:val="0"/>
        <w:spacing w:line="360" w:lineRule="auto"/>
        <w:ind w:firstLineChars="200" w:firstLine="480"/>
        <w:jc w:val="center"/>
        <w:rPr>
          <w:rFonts w:ascii="仿宋" w:eastAsia="仿宋" w:hAnsi="仿宋"/>
          <w:sz w:val="24"/>
          <w:szCs w:val="24"/>
        </w:rPr>
      </w:pPr>
    </w:p>
    <w:p w:rsidR="009A0B3C" w:rsidRPr="009A6F27" w:rsidRDefault="009A6F27">
      <w:pPr>
        <w:pStyle w:val="div"/>
        <w:wordWrap w:val="0"/>
        <w:spacing w:line="360" w:lineRule="auto"/>
        <w:ind w:firstLine="630"/>
        <w:rPr>
          <w:rFonts w:ascii="仿宋" w:eastAsia="仿宋" w:hAnsi="仿宋" w:cs="FangSong"/>
          <w:kern w:val="0"/>
          <w:sz w:val="32"/>
          <w:szCs w:val="32"/>
        </w:rPr>
      </w:pPr>
      <w:r w:rsidRPr="009A6F27">
        <w:rPr>
          <w:rFonts w:ascii="仿宋" w:eastAsia="仿宋" w:hAnsi="仿宋" w:cs="FangSong"/>
          <w:b/>
          <w:bCs/>
          <w:kern w:val="0"/>
          <w:sz w:val="32"/>
          <w:szCs w:val="32"/>
        </w:rPr>
        <w:t>2．与分红相关的其他信息</w:t>
      </w:r>
    </w:p>
    <w:tbl>
      <w:tblPr>
        <w:tblStyle w:val="tableTable"/>
        <w:tblW w:w="58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5E0"/>
      </w:tblPr>
      <w:tblGrid>
        <w:gridCol w:w="4298"/>
        <w:gridCol w:w="5710"/>
      </w:tblGrid>
      <w:tr w:rsidR="009A0B3C" w:rsidRPr="009A6F27" w:rsidTr="00D84978">
        <w:trPr>
          <w:trHeight w:val="320"/>
          <w:jc w:val="center"/>
        </w:trPr>
        <w:tc>
          <w:tcPr>
            <w:tcW w:w="4176" w:type="dxa"/>
            <w:tcMar>
              <w:top w:w="136"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权益登记日</w:t>
            </w:r>
          </w:p>
        </w:tc>
        <w:tc>
          <w:tcPr>
            <w:tcW w:w="5549" w:type="dxa"/>
            <w:tcMar>
              <w:top w:w="136" w:type="dxa"/>
              <w:left w:w="108" w:type="dxa"/>
              <w:bottom w:w="134" w:type="dxa"/>
              <w:right w:w="111"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2024年03月21日</w:t>
            </w:r>
          </w:p>
        </w:tc>
      </w:tr>
      <w:tr w:rsidR="009A0B3C" w:rsidRPr="009A6F27" w:rsidTr="00D84978">
        <w:trPr>
          <w:trHeight w:val="335"/>
          <w:jc w:val="center"/>
        </w:trPr>
        <w:tc>
          <w:tcPr>
            <w:tcW w:w="4176" w:type="dxa"/>
            <w:tcMar>
              <w:top w:w="134"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除息日</w:t>
            </w:r>
          </w:p>
        </w:tc>
        <w:tc>
          <w:tcPr>
            <w:tcW w:w="5549" w:type="dxa"/>
            <w:tcMar>
              <w:top w:w="134" w:type="dxa"/>
              <w:left w:w="108" w:type="dxa"/>
              <w:bottom w:w="134" w:type="dxa"/>
              <w:right w:w="111"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2024年03月21日</w:t>
            </w:r>
          </w:p>
        </w:tc>
      </w:tr>
      <w:tr w:rsidR="009A0B3C" w:rsidRPr="009A6F27" w:rsidTr="00D84978">
        <w:trPr>
          <w:trHeight w:val="320"/>
          <w:jc w:val="center"/>
        </w:trPr>
        <w:tc>
          <w:tcPr>
            <w:tcW w:w="4176" w:type="dxa"/>
            <w:tcMar>
              <w:top w:w="134"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现金红利发放日</w:t>
            </w:r>
          </w:p>
        </w:tc>
        <w:tc>
          <w:tcPr>
            <w:tcW w:w="5549" w:type="dxa"/>
            <w:tcMar>
              <w:top w:w="134" w:type="dxa"/>
              <w:left w:w="108" w:type="dxa"/>
              <w:bottom w:w="134" w:type="dxa"/>
              <w:right w:w="111"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2024年03月22日</w:t>
            </w:r>
          </w:p>
        </w:tc>
      </w:tr>
      <w:tr w:rsidR="009A0B3C" w:rsidRPr="009A6F27" w:rsidTr="00D84978">
        <w:trPr>
          <w:trHeight w:val="335"/>
          <w:jc w:val="center"/>
        </w:trPr>
        <w:tc>
          <w:tcPr>
            <w:tcW w:w="4176" w:type="dxa"/>
            <w:tcMar>
              <w:top w:w="134"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分红对象</w:t>
            </w:r>
          </w:p>
        </w:tc>
        <w:tc>
          <w:tcPr>
            <w:tcW w:w="5549" w:type="dxa"/>
            <w:tcMar>
              <w:top w:w="134" w:type="dxa"/>
              <w:left w:w="108" w:type="dxa"/>
              <w:bottom w:w="134" w:type="dxa"/>
              <w:right w:w="111" w:type="dxa"/>
            </w:tcMar>
            <w:vAlign w:val="center"/>
            <w:hideMark/>
          </w:tcPr>
          <w:p w:rsidR="009A0B3C" w:rsidRPr="009A6F27" w:rsidRDefault="009A6F27">
            <w:pPr>
              <w:pStyle w:val="p"/>
              <w:spacing w:line="360" w:lineRule="auto"/>
              <w:jc w:val="left"/>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权益登记日在本公司登记在册的本基金全体持有人</w:t>
            </w:r>
          </w:p>
        </w:tc>
      </w:tr>
      <w:tr w:rsidR="009A0B3C" w:rsidRPr="009A6F27" w:rsidTr="00D84978">
        <w:trPr>
          <w:trHeight w:val="335"/>
          <w:jc w:val="center"/>
        </w:trPr>
        <w:tc>
          <w:tcPr>
            <w:tcW w:w="4176" w:type="dxa"/>
            <w:tcMar>
              <w:top w:w="134"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红利再投资相关事项的说明</w:t>
            </w:r>
          </w:p>
        </w:tc>
        <w:tc>
          <w:tcPr>
            <w:tcW w:w="5549" w:type="dxa"/>
            <w:tcMar>
              <w:top w:w="134" w:type="dxa"/>
              <w:left w:w="108" w:type="dxa"/>
              <w:bottom w:w="134" w:type="dxa"/>
              <w:right w:w="111" w:type="dxa"/>
            </w:tcMar>
            <w:vAlign w:val="center"/>
            <w:hideMark/>
          </w:tcPr>
          <w:p w:rsidR="009A0B3C" w:rsidRPr="009A6F27" w:rsidRDefault="009A6F27">
            <w:pPr>
              <w:pStyle w:val="p"/>
              <w:spacing w:line="360" w:lineRule="auto"/>
              <w:jc w:val="left"/>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1、选择红利再投资的投资者，其现金红利将按2024年3月21日的基金份额净值实施转换。</w:t>
            </w:r>
            <w:r w:rsidRPr="009A6F27">
              <w:rPr>
                <w:rFonts w:ascii="仿宋" w:eastAsia="仿宋" w:hAnsi="仿宋" w:cs="FangSong"/>
                <w:color w:val="000000"/>
                <w:kern w:val="0"/>
                <w:sz w:val="32"/>
                <w:szCs w:val="32"/>
              </w:rPr>
              <w:br/>
              <w:t>2、选择红利再投资方式的投资者所转换的基金份额将于2024年3月22日直接计入其基金账户，2024年3月25日起可以查询、赎回。</w:t>
            </w:r>
            <w:r w:rsidRPr="009A6F27">
              <w:rPr>
                <w:rFonts w:ascii="仿宋" w:eastAsia="仿宋" w:hAnsi="仿宋" w:cs="FangSong"/>
                <w:color w:val="000000"/>
                <w:kern w:val="0"/>
                <w:sz w:val="32"/>
                <w:szCs w:val="32"/>
              </w:rPr>
              <w:br/>
              <w:t>3、选择现金分红方式的投资者的红利款将于2024年3月22日自基金托管账户划出。</w:t>
            </w:r>
          </w:p>
        </w:tc>
      </w:tr>
      <w:tr w:rsidR="009A0B3C" w:rsidRPr="009A6F27" w:rsidTr="00D84978">
        <w:trPr>
          <w:trHeight w:val="335"/>
          <w:jc w:val="center"/>
        </w:trPr>
        <w:tc>
          <w:tcPr>
            <w:tcW w:w="4176" w:type="dxa"/>
            <w:tcMar>
              <w:top w:w="134" w:type="dxa"/>
              <w:left w:w="111" w:type="dxa"/>
              <w:bottom w:w="134"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税收相关事项的说明</w:t>
            </w:r>
          </w:p>
        </w:tc>
        <w:tc>
          <w:tcPr>
            <w:tcW w:w="5549" w:type="dxa"/>
            <w:tcMar>
              <w:top w:w="134" w:type="dxa"/>
              <w:left w:w="108" w:type="dxa"/>
              <w:bottom w:w="134" w:type="dxa"/>
              <w:right w:w="111" w:type="dxa"/>
            </w:tcMar>
            <w:vAlign w:val="center"/>
            <w:hideMark/>
          </w:tcPr>
          <w:p w:rsidR="009A0B3C" w:rsidRPr="009A6F27" w:rsidRDefault="009A6F27">
            <w:pPr>
              <w:pStyle w:val="p"/>
              <w:spacing w:line="360" w:lineRule="auto"/>
              <w:jc w:val="left"/>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根据国家税收规定，基金向投资者分配的基金收益，暂免征收所得税。</w:t>
            </w:r>
          </w:p>
        </w:tc>
      </w:tr>
      <w:tr w:rsidR="009A0B3C" w:rsidRPr="009A6F27" w:rsidTr="00D84978">
        <w:trPr>
          <w:trHeight w:val="335"/>
          <w:jc w:val="center"/>
        </w:trPr>
        <w:tc>
          <w:tcPr>
            <w:tcW w:w="4176" w:type="dxa"/>
            <w:tcMar>
              <w:top w:w="134" w:type="dxa"/>
              <w:left w:w="111" w:type="dxa"/>
              <w:bottom w:w="136" w:type="dxa"/>
              <w:right w:w="108" w:type="dxa"/>
            </w:tcMar>
            <w:vAlign w:val="center"/>
            <w:hideMark/>
          </w:tcPr>
          <w:p w:rsidR="009A0B3C" w:rsidRPr="009A6F27" w:rsidRDefault="009A6F27">
            <w:pPr>
              <w:pStyle w:val="p"/>
              <w:spacing w:line="360" w:lineRule="auto"/>
              <w:jc w:val="center"/>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费用相关事项的说明</w:t>
            </w:r>
          </w:p>
        </w:tc>
        <w:tc>
          <w:tcPr>
            <w:tcW w:w="5549" w:type="dxa"/>
            <w:tcMar>
              <w:top w:w="134" w:type="dxa"/>
              <w:left w:w="108" w:type="dxa"/>
              <w:bottom w:w="136" w:type="dxa"/>
              <w:right w:w="111" w:type="dxa"/>
            </w:tcMar>
            <w:vAlign w:val="center"/>
            <w:hideMark/>
          </w:tcPr>
          <w:p w:rsidR="009A0B3C" w:rsidRPr="009A6F27" w:rsidRDefault="009A6F27">
            <w:pPr>
              <w:pStyle w:val="p"/>
              <w:spacing w:line="360" w:lineRule="auto"/>
              <w:jc w:val="left"/>
              <w:rPr>
                <w:rFonts w:ascii="仿宋" w:eastAsia="仿宋" w:hAnsi="仿宋" w:cs="FangSong"/>
                <w:color w:val="000000"/>
                <w:kern w:val="0"/>
                <w:sz w:val="32"/>
                <w:szCs w:val="32"/>
              </w:rPr>
            </w:pPr>
            <w:r w:rsidRPr="009A6F27">
              <w:rPr>
                <w:rFonts w:ascii="仿宋" w:eastAsia="仿宋" w:hAnsi="仿宋" w:cs="FangSong"/>
                <w:color w:val="000000"/>
                <w:kern w:val="0"/>
                <w:sz w:val="32"/>
                <w:szCs w:val="32"/>
              </w:rPr>
              <w:t>1、本基金本次分红免收分红手续费。</w:t>
            </w:r>
            <w:r w:rsidRPr="009A6F27">
              <w:rPr>
                <w:rFonts w:ascii="仿宋" w:eastAsia="仿宋" w:hAnsi="仿宋" w:cs="FangSong"/>
                <w:color w:val="000000"/>
                <w:kern w:val="0"/>
                <w:sz w:val="32"/>
                <w:szCs w:val="32"/>
              </w:rPr>
              <w:br/>
              <w:t>2、选择红利再投资方式的投资者，其红利所转换的基金份</w:t>
            </w:r>
            <w:bookmarkStart w:id="0" w:name="_GoBack"/>
            <w:bookmarkEnd w:id="0"/>
            <w:r w:rsidRPr="009A6F27">
              <w:rPr>
                <w:rFonts w:ascii="仿宋" w:eastAsia="仿宋" w:hAnsi="仿宋" w:cs="FangSong"/>
                <w:color w:val="000000"/>
                <w:kern w:val="0"/>
                <w:sz w:val="32"/>
                <w:szCs w:val="32"/>
              </w:rPr>
              <w:t>额免收申购费用。</w:t>
            </w:r>
          </w:p>
        </w:tc>
      </w:tr>
    </w:tbl>
    <w:p w:rsidR="009A0B3C" w:rsidRPr="009A6F27" w:rsidRDefault="009A0B3C">
      <w:pPr>
        <w:wordWrap w:val="0"/>
        <w:autoSpaceDE w:val="0"/>
        <w:autoSpaceDN w:val="0"/>
        <w:adjustRightInd w:val="0"/>
        <w:spacing w:line="360" w:lineRule="auto"/>
        <w:ind w:firstLineChars="200" w:firstLine="480"/>
        <w:jc w:val="center"/>
        <w:rPr>
          <w:rFonts w:ascii="仿宋" w:eastAsia="仿宋" w:hAnsi="仿宋"/>
          <w:sz w:val="24"/>
          <w:szCs w:val="24"/>
        </w:rPr>
      </w:pP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b/>
          <w:bCs/>
          <w:kern w:val="0"/>
          <w:sz w:val="32"/>
          <w:szCs w:val="32"/>
        </w:rPr>
        <w:t>3．其他需要提示的事项</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（1）权益登记日以后（含权益登记日）申请申购或转入的基金份额不享有本次分红权益，申请赎回或转出的基金份额享有本次分红权益。</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（2）权益登记日以后（含权益登记日）申请申购或转入的金额以除息后的基金份额净值为计算基准确定申购或转入的份额。</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（3）对于未选择具体分红方式的投资者，本基金默认的分红方式为现金分红。</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4）投资者可通过本公司网站（www.glfund.com）或客户服务电话（400-160-6000、010-56517299）查询最后一次选择成功的分红方式。如希望变更分红方式的，请于权益登记日之前（不含权益登记日），在基金开放日的交易时间内通过各销售机构网点或国联基金直销电子交易平台办理变更手续。本次分红方式将以投资者在权益登记日之前（不含权益登记日）最后一次选择的分红方式为准。</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5）基金分红导致基金净值变化不会改变基金的风险收益特征，不会降低基金投资风险或提高基金投资收益。若因分红导致基金份额净值调整至1元附近，在市场波动等因素的影响下，基金投资仍有可能出现亏损或基金份额净值低于初始面值的情况。</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风险提示：本公司承诺以诚实信用、勤勉尽责的原则管理和运用基金资产，但不保证基金一定盈利，也不保证最低收益。投资者投资于本基金前应认真阅读本基金的基金合同和招募说明书。敬请投资者留意投资风险。</w:t>
      </w:r>
    </w:p>
    <w:p w:rsidR="009A0B3C" w:rsidRPr="009A6F27" w:rsidRDefault="009A6F27">
      <w:pPr>
        <w:pStyle w:val="div"/>
        <w:wordWrap w:val="0"/>
        <w:spacing w:line="360" w:lineRule="auto"/>
        <w:ind w:firstLine="420"/>
        <w:rPr>
          <w:rFonts w:ascii="仿宋" w:eastAsia="仿宋" w:hAnsi="仿宋" w:cs="FangSong"/>
          <w:kern w:val="0"/>
          <w:sz w:val="32"/>
          <w:szCs w:val="32"/>
        </w:rPr>
      </w:pPr>
      <w:r w:rsidRPr="009A6F27">
        <w:rPr>
          <w:rFonts w:ascii="仿宋" w:eastAsia="仿宋" w:hAnsi="仿宋" w:cs="FangSong"/>
          <w:kern w:val="0"/>
          <w:sz w:val="32"/>
          <w:szCs w:val="32"/>
        </w:rPr>
        <w:t>特此公告。</w:t>
      </w:r>
    </w:p>
    <w:p w:rsidR="009A0B3C" w:rsidRPr="009A6F27" w:rsidRDefault="009A0B3C">
      <w:pPr>
        <w:pStyle w:val="p"/>
        <w:widowControl/>
        <w:wordWrap w:val="0"/>
        <w:jc w:val="left"/>
        <w:rPr>
          <w:rFonts w:ascii="仿宋" w:eastAsia="仿宋" w:hAnsi="仿宋" w:cs="FangSong"/>
          <w:kern w:val="0"/>
          <w:sz w:val="32"/>
          <w:szCs w:val="32"/>
        </w:rPr>
      </w:pPr>
    </w:p>
    <w:p w:rsidR="009A0B3C" w:rsidRPr="009A6F27" w:rsidRDefault="009A0B3C">
      <w:pPr>
        <w:pStyle w:val="p"/>
        <w:widowControl/>
        <w:wordWrap w:val="0"/>
        <w:jc w:val="left"/>
        <w:rPr>
          <w:rFonts w:ascii="仿宋" w:eastAsia="仿宋" w:hAnsi="仿宋" w:cs="FangSong"/>
          <w:kern w:val="0"/>
          <w:sz w:val="32"/>
          <w:szCs w:val="32"/>
        </w:rPr>
      </w:pPr>
    </w:p>
    <w:p w:rsidR="009A0B3C" w:rsidRPr="009A6F27" w:rsidRDefault="009A6F27">
      <w:pPr>
        <w:pStyle w:val="div"/>
        <w:spacing w:line="360" w:lineRule="auto"/>
        <w:ind w:firstLine="420"/>
        <w:jc w:val="right"/>
        <w:rPr>
          <w:rFonts w:ascii="仿宋" w:eastAsia="仿宋" w:hAnsi="仿宋" w:cs="FangSong"/>
          <w:kern w:val="0"/>
          <w:sz w:val="32"/>
          <w:szCs w:val="32"/>
        </w:rPr>
      </w:pPr>
      <w:r w:rsidRPr="009A6F27">
        <w:rPr>
          <w:rFonts w:ascii="仿宋" w:eastAsia="仿宋" w:hAnsi="仿宋" w:cs="FangSong"/>
          <w:kern w:val="0"/>
          <w:sz w:val="32"/>
          <w:szCs w:val="32"/>
        </w:rPr>
        <w:t>国联基金管理有限公司</w:t>
      </w:r>
    </w:p>
    <w:p w:rsidR="009A0B3C" w:rsidRPr="009A6F27" w:rsidRDefault="009A6F27">
      <w:pPr>
        <w:pStyle w:val="div"/>
        <w:spacing w:line="360" w:lineRule="auto"/>
        <w:ind w:firstLine="420"/>
        <w:jc w:val="right"/>
        <w:rPr>
          <w:rFonts w:ascii="仿宋" w:eastAsia="仿宋" w:hAnsi="仿宋" w:cs="FangSong"/>
          <w:kern w:val="0"/>
          <w:sz w:val="32"/>
          <w:szCs w:val="32"/>
        </w:rPr>
      </w:pPr>
      <w:r w:rsidRPr="009A6F27">
        <w:rPr>
          <w:rFonts w:ascii="仿宋" w:eastAsia="仿宋" w:hAnsi="仿宋" w:cs="FangSong"/>
          <w:kern w:val="0"/>
          <w:sz w:val="32"/>
          <w:szCs w:val="32"/>
        </w:rPr>
        <w:t>2024年03月21日</w:t>
      </w:r>
    </w:p>
    <w:sectPr w:rsidR="009A0B3C" w:rsidRPr="009A6F27" w:rsidSect="001A331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331C"/>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26C9"/>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367D"/>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0B3C"/>
    <w:rsid w:val="009A278E"/>
    <w:rsid w:val="009A3A3C"/>
    <w:rsid w:val="009A40E8"/>
    <w:rsid w:val="009A6A18"/>
    <w:rsid w:val="009A6F27"/>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450B"/>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84978"/>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31C"/>
    <w:pPr>
      <w:widowControl w:val="0"/>
      <w:jc w:val="both"/>
    </w:pPr>
    <w:rPr>
      <w:kern w:val="2"/>
      <w:sz w:val="21"/>
      <w:lang w:eastAsia="zh-CN"/>
    </w:rPr>
  </w:style>
  <w:style w:type="paragraph" w:styleId="1">
    <w:name w:val="heading 1"/>
    <w:basedOn w:val="a"/>
    <w:next w:val="a"/>
    <w:link w:val="1Char"/>
    <w:qFormat/>
    <w:rsid w:val="001A331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A331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A331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A331C"/>
    <w:pPr>
      <w:ind w:firstLineChars="200" w:firstLine="420"/>
    </w:pPr>
  </w:style>
  <w:style w:type="paragraph" w:styleId="a4">
    <w:name w:val="Document Map"/>
    <w:basedOn w:val="a"/>
    <w:qFormat/>
    <w:rsid w:val="001A331C"/>
    <w:pPr>
      <w:shd w:val="clear" w:color="auto" w:fill="000080"/>
    </w:pPr>
  </w:style>
  <w:style w:type="paragraph" w:styleId="a5">
    <w:name w:val="annotation text"/>
    <w:basedOn w:val="a"/>
    <w:link w:val="Char"/>
    <w:qFormat/>
    <w:rsid w:val="001A331C"/>
    <w:pPr>
      <w:jc w:val="left"/>
    </w:pPr>
  </w:style>
  <w:style w:type="paragraph" w:styleId="a6">
    <w:name w:val="Body Text"/>
    <w:basedOn w:val="a"/>
    <w:link w:val="Char0"/>
    <w:qFormat/>
    <w:rsid w:val="001A331C"/>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1A331C"/>
    <w:pPr>
      <w:ind w:leftChars="400" w:left="840"/>
    </w:pPr>
  </w:style>
  <w:style w:type="paragraph" w:styleId="a7">
    <w:name w:val="Plain Text"/>
    <w:basedOn w:val="a"/>
    <w:qFormat/>
    <w:rsid w:val="001A331C"/>
    <w:pPr>
      <w:adjustRightInd w:val="0"/>
      <w:spacing w:line="312" w:lineRule="atLeast"/>
      <w:textAlignment w:val="baseline"/>
    </w:pPr>
    <w:rPr>
      <w:rFonts w:ascii="宋体" w:hAnsi="Courier New"/>
      <w:kern w:val="0"/>
    </w:rPr>
  </w:style>
  <w:style w:type="paragraph" w:styleId="20">
    <w:name w:val="Body Text Indent 2"/>
    <w:basedOn w:val="a"/>
    <w:qFormat/>
    <w:rsid w:val="001A331C"/>
    <w:pPr>
      <w:spacing w:line="360" w:lineRule="auto"/>
      <w:ind w:firstLine="425"/>
    </w:pPr>
    <w:rPr>
      <w:rFonts w:ascii="仿宋_GB2312" w:eastAsia="仿宋_GB2312"/>
      <w:sz w:val="28"/>
    </w:rPr>
  </w:style>
  <w:style w:type="paragraph" w:styleId="a8">
    <w:name w:val="Balloon Text"/>
    <w:basedOn w:val="a"/>
    <w:qFormat/>
    <w:rsid w:val="001A331C"/>
    <w:rPr>
      <w:sz w:val="18"/>
    </w:rPr>
  </w:style>
  <w:style w:type="paragraph" w:styleId="a9">
    <w:name w:val="footer"/>
    <w:basedOn w:val="a"/>
    <w:link w:val="Char1"/>
    <w:uiPriority w:val="99"/>
    <w:qFormat/>
    <w:rsid w:val="001A331C"/>
    <w:pPr>
      <w:tabs>
        <w:tab w:val="center" w:pos="4153"/>
        <w:tab w:val="right" w:pos="8306"/>
      </w:tabs>
      <w:snapToGrid w:val="0"/>
      <w:jc w:val="left"/>
    </w:pPr>
    <w:rPr>
      <w:sz w:val="18"/>
    </w:rPr>
  </w:style>
  <w:style w:type="paragraph" w:styleId="aa">
    <w:name w:val="header"/>
    <w:basedOn w:val="a"/>
    <w:link w:val="Char2"/>
    <w:uiPriority w:val="99"/>
    <w:qFormat/>
    <w:rsid w:val="001A331C"/>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1A331C"/>
    <w:pPr>
      <w:tabs>
        <w:tab w:val="right" w:leader="dot" w:pos="8296"/>
      </w:tabs>
      <w:spacing w:line="360" w:lineRule="auto"/>
    </w:pPr>
  </w:style>
  <w:style w:type="paragraph" w:styleId="ab">
    <w:name w:val="footnote text"/>
    <w:basedOn w:val="a"/>
    <w:qFormat/>
    <w:rsid w:val="001A331C"/>
    <w:pPr>
      <w:snapToGrid w:val="0"/>
      <w:jc w:val="left"/>
    </w:pPr>
    <w:rPr>
      <w:sz w:val="18"/>
    </w:rPr>
  </w:style>
  <w:style w:type="paragraph" w:styleId="31">
    <w:name w:val="Body Text Indent 3"/>
    <w:basedOn w:val="a"/>
    <w:qFormat/>
    <w:rsid w:val="001A331C"/>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1A331C"/>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1A331C"/>
    <w:pPr>
      <w:spacing w:before="240" w:after="60"/>
      <w:jc w:val="center"/>
      <w:outlineLvl w:val="0"/>
    </w:pPr>
    <w:rPr>
      <w:rFonts w:ascii="Cambria" w:hAnsi="Cambria"/>
      <w:b/>
      <w:sz w:val="32"/>
      <w:lang w:val="zh-CN"/>
    </w:rPr>
  </w:style>
  <w:style w:type="paragraph" w:styleId="ae">
    <w:name w:val="annotation subject"/>
    <w:basedOn w:val="a5"/>
    <w:next w:val="a5"/>
    <w:qFormat/>
    <w:rsid w:val="001A331C"/>
    <w:rPr>
      <w:b/>
    </w:rPr>
  </w:style>
  <w:style w:type="character" w:styleId="af">
    <w:name w:val="page number"/>
    <w:basedOn w:val="a0"/>
    <w:rsid w:val="001A331C"/>
  </w:style>
  <w:style w:type="character" w:styleId="af0">
    <w:name w:val="Hyperlink"/>
    <w:qFormat/>
    <w:rsid w:val="001A331C"/>
    <w:rPr>
      <w:color w:val="0000FF"/>
      <w:u w:val="single"/>
    </w:rPr>
  </w:style>
  <w:style w:type="character" w:styleId="af1">
    <w:name w:val="annotation reference"/>
    <w:rsid w:val="001A331C"/>
    <w:rPr>
      <w:sz w:val="21"/>
    </w:rPr>
  </w:style>
  <w:style w:type="character" w:styleId="af2">
    <w:name w:val="footnote reference"/>
    <w:rsid w:val="001A331C"/>
    <w:rPr>
      <w:vertAlign w:val="superscript"/>
    </w:rPr>
  </w:style>
  <w:style w:type="character" w:customStyle="1" w:styleId="Char0">
    <w:name w:val="正文文本 Char"/>
    <w:link w:val="a6"/>
    <w:rsid w:val="001A331C"/>
    <w:rPr>
      <w:rFonts w:ascii="宋体"/>
      <w:lang w:val="zh-CN" w:eastAsia="zh-CN"/>
    </w:rPr>
  </w:style>
  <w:style w:type="character" w:customStyle="1" w:styleId="unnamed11">
    <w:name w:val="unnamed11"/>
    <w:rsid w:val="001A331C"/>
    <w:rPr>
      <w:rFonts w:ascii="宋体" w:eastAsia="宋体" w:hAnsi="宋体" w:hint="eastAsia"/>
      <w:sz w:val="18"/>
    </w:rPr>
  </w:style>
  <w:style w:type="character" w:customStyle="1" w:styleId="Char3">
    <w:name w:val="标题 Char"/>
    <w:link w:val="ad"/>
    <w:rsid w:val="001A331C"/>
    <w:rPr>
      <w:rFonts w:ascii="Cambria" w:hAnsi="Cambria"/>
      <w:b/>
      <w:kern w:val="2"/>
      <w:sz w:val="32"/>
      <w:lang w:val="zh-CN" w:eastAsia="zh-CN"/>
    </w:rPr>
  </w:style>
  <w:style w:type="character" w:customStyle="1" w:styleId="Char2">
    <w:name w:val="页眉 Char"/>
    <w:link w:val="aa"/>
    <w:uiPriority w:val="99"/>
    <w:qFormat/>
    <w:rsid w:val="001A331C"/>
    <w:rPr>
      <w:kern w:val="2"/>
      <w:sz w:val="18"/>
    </w:rPr>
  </w:style>
  <w:style w:type="character" w:customStyle="1" w:styleId="read">
    <w:name w:val="read"/>
    <w:basedOn w:val="a0"/>
    <w:qFormat/>
    <w:rsid w:val="001A331C"/>
  </w:style>
  <w:style w:type="paragraph" w:customStyle="1" w:styleId="CharChar">
    <w:name w:val="Char Char"/>
    <w:basedOn w:val="a"/>
    <w:qFormat/>
    <w:rsid w:val="001A331C"/>
  </w:style>
  <w:style w:type="paragraph" w:customStyle="1" w:styleId="Default">
    <w:name w:val="Default"/>
    <w:qFormat/>
    <w:rsid w:val="001A331C"/>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1A331C"/>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1A331C"/>
    <w:pPr>
      <w:widowControl/>
      <w:numPr>
        <w:numId w:val="1"/>
      </w:numPr>
      <w:jc w:val="left"/>
    </w:pPr>
    <w:rPr>
      <w:kern w:val="0"/>
      <w:sz w:val="24"/>
    </w:rPr>
  </w:style>
  <w:style w:type="paragraph" w:customStyle="1" w:styleId="msonormal1">
    <w:name w:val="msonormal1"/>
    <w:qFormat/>
    <w:rsid w:val="001A331C"/>
    <w:pPr>
      <w:widowControl w:val="0"/>
      <w:jc w:val="both"/>
    </w:pPr>
    <w:rPr>
      <w:kern w:val="2"/>
      <w:sz w:val="21"/>
      <w:lang w:eastAsia="zh-CN"/>
    </w:rPr>
  </w:style>
  <w:style w:type="paragraph" w:customStyle="1" w:styleId="af3">
    <w:name w:val="正文正文"/>
    <w:basedOn w:val="a"/>
    <w:qFormat/>
    <w:rsid w:val="001A331C"/>
    <w:pPr>
      <w:spacing w:afterLines="25" w:line="360" w:lineRule="auto"/>
      <w:ind w:firstLineChars="200" w:firstLine="200"/>
    </w:pPr>
    <w:rPr>
      <w:sz w:val="24"/>
    </w:rPr>
  </w:style>
  <w:style w:type="paragraph" w:customStyle="1" w:styleId="Char4">
    <w:name w:val="Char"/>
    <w:basedOn w:val="a"/>
    <w:qFormat/>
    <w:rsid w:val="001A331C"/>
  </w:style>
  <w:style w:type="paragraph" w:customStyle="1" w:styleId="Char10">
    <w:name w:val="Char1"/>
    <w:basedOn w:val="a"/>
    <w:qFormat/>
    <w:rsid w:val="001A331C"/>
  </w:style>
  <w:style w:type="paragraph" w:customStyle="1" w:styleId="CharCharChar">
    <w:name w:val="Char Char Char"/>
    <w:basedOn w:val="a"/>
    <w:qFormat/>
    <w:rsid w:val="001A331C"/>
  </w:style>
  <w:style w:type="paragraph" w:customStyle="1" w:styleId="InfoBlue">
    <w:name w:val="InfoBlue"/>
    <w:basedOn w:val="a"/>
    <w:next w:val="a6"/>
    <w:qFormat/>
    <w:rsid w:val="001A331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1A331C"/>
    <w:pPr>
      <w:tabs>
        <w:tab w:val="left" w:pos="360"/>
      </w:tabs>
    </w:pPr>
  </w:style>
  <w:style w:type="paragraph" w:customStyle="1" w:styleId="CharChar1">
    <w:name w:val="Char Char1"/>
    <w:basedOn w:val="a"/>
    <w:qFormat/>
    <w:rsid w:val="001A331C"/>
  </w:style>
  <w:style w:type="paragraph" w:customStyle="1" w:styleId="af4">
    <w:name w:val="正文所"/>
    <w:basedOn w:val="a"/>
    <w:qFormat/>
    <w:rsid w:val="001A331C"/>
    <w:pPr>
      <w:spacing w:line="360" w:lineRule="auto"/>
      <w:ind w:firstLineChars="200" w:firstLine="420"/>
    </w:pPr>
    <w:rPr>
      <w:rFonts w:ascii="宋体"/>
    </w:rPr>
  </w:style>
  <w:style w:type="paragraph" w:customStyle="1" w:styleId="11">
    <w:name w:val="修订1"/>
    <w:hidden/>
    <w:uiPriority w:val="99"/>
    <w:semiHidden/>
    <w:qFormat/>
    <w:rsid w:val="001A331C"/>
    <w:rPr>
      <w:kern w:val="2"/>
      <w:sz w:val="21"/>
      <w:lang w:eastAsia="zh-CN"/>
    </w:rPr>
  </w:style>
  <w:style w:type="character" w:customStyle="1" w:styleId="1Char">
    <w:name w:val="标题 1 Char"/>
    <w:link w:val="1"/>
    <w:qFormat/>
    <w:rsid w:val="001A331C"/>
    <w:rPr>
      <w:rFonts w:ascii="宋体"/>
      <w:b/>
      <w:color w:val="000000"/>
      <w:sz w:val="24"/>
    </w:rPr>
  </w:style>
  <w:style w:type="character" w:customStyle="1" w:styleId="Char">
    <w:name w:val="批注文字 Char"/>
    <w:link w:val="a5"/>
    <w:qFormat/>
    <w:rsid w:val="001A331C"/>
    <w:rPr>
      <w:kern w:val="2"/>
      <w:sz w:val="21"/>
    </w:rPr>
  </w:style>
  <w:style w:type="paragraph" w:customStyle="1" w:styleId="CharChar2">
    <w:name w:val="Char Char2"/>
    <w:basedOn w:val="a"/>
    <w:qFormat/>
    <w:rsid w:val="001A331C"/>
  </w:style>
  <w:style w:type="paragraph" w:customStyle="1" w:styleId="CharChar3">
    <w:name w:val="Char Char3"/>
    <w:basedOn w:val="a"/>
    <w:qFormat/>
    <w:rsid w:val="001A331C"/>
  </w:style>
  <w:style w:type="paragraph" w:customStyle="1" w:styleId="Char20">
    <w:name w:val="Char2"/>
    <w:basedOn w:val="a"/>
    <w:qFormat/>
    <w:rsid w:val="001A331C"/>
  </w:style>
  <w:style w:type="paragraph" w:customStyle="1" w:styleId="CharCharChar1">
    <w:name w:val="Char Char Char1"/>
    <w:basedOn w:val="a"/>
    <w:qFormat/>
    <w:rsid w:val="001A331C"/>
  </w:style>
  <w:style w:type="paragraph" w:customStyle="1" w:styleId="CharCharCharChar1">
    <w:name w:val="Char Char Char Char1"/>
    <w:basedOn w:val="a"/>
    <w:qFormat/>
    <w:rsid w:val="001A331C"/>
    <w:pPr>
      <w:tabs>
        <w:tab w:val="left" w:pos="360"/>
      </w:tabs>
    </w:pPr>
  </w:style>
  <w:style w:type="paragraph" w:customStyle="1" w:styleId="CharChar11">
    <w:name w:val="Char Char11"/>
    <w:basedOn w:val="a"/>
    <w:qFormat/>
    <w:rsid w:val="001A331C"/>
  </w:style>
  <w:style w:type="paragraph" w:customStyle="1" w:styleId="CharChar4">
    <w:name w:val="Char Char4"/>
    <w:basedOn w:val="a"/>
    <w:qFormat/>
    <w:rsid w:val="001A331C"/>
  </w:style>
  <w:style w:type="paragraph" w:styleId="af5">
    <w:name w:val="List Paragraph"/>
    <w:basedOn w:val="a"/>
    <w:uiPriority w:val="34"/>
    <w:qFormat/>
    <w:rsid w:val="001A331C"/>
    <w:pPr>
      <w:ind w:firstLineChars="200" w:firstLine="420"/>
    </w:pPr>
  </w:style>
  <w:style w:type="paragraph" w:customStyle="1" w:styleId="CharChar12">
    <w:name w:val="Char Char12"/>
    <w:basedOn w:val="a"/>
    <w:qFormat/>
    <w:rsid w:val="001A331C"/>
  </w:style>
  <w:style w:type="paragraph" w:customStyle="1" w:styleId="Char30">
    <w:name w:val="Char3"/>
    <w:basedOn w:val="a"/>
    <w:qFormat/>
    <w:rsid w:val="001A331C"/>
  </w:style>
  <w:style w:type="paragraph" w:customStyle="1" w:styleId="CharChar13">
    <w:name w:val="Char Char13"/>
    <w:basedOn w:val="a"/>
    <w:qFormat/>
    <w:rsid w:val="001A331C"/>
  </w:style>
  <w:style w:type="paragraph" w:customStyle="1" w:styleId="Char40">
    <w:name w:val="Char4"/>
    <w:basedOn w:val="a"/>
    <w:qFormat/>
    <w:rsid w:val="001A331C"/>
  </w:style>
  <w:style w:type="paragraph" w:customStyle="1" w:styleId="CharChar14">
    <w:name w:val="Char Char14"/>
    <w:basedOn w:val="a"/>
    <w:qFormat/>
    <w:rsid w:val="001A331C"/>
  </w:style>
  <w:style w:type="paragraph" w:customStyle="1" w:styleId="Char5">
    <w:name w:val="Char5"/>
    <w:basedOn w:val="a"/>
    <w:qFormat/>
    <w:rsid w:val="001A331C"/>
  </w:style>
  <w:style w:type="paragraph" w:customStyle="1" w:styleId="CharChar5">
    <w:name w:val="Char Char5"/>
    <w:basedOn w:val="a"/>
    <w:qFormat/>
    <w:rsid w:val="001A331C"/>
  </w:style>
  <w:style w:type="character" w:customStyle="1" w:styleId="Char1">
    <w:name w:val="页脚 Char"/>
    <w:basedOn w:val="a0"/>
    <w:link w:val="a9"/>
    <w:uiPriority w:val="99"/>
    <w:qFormat/>
    <w:rsid w:val="001A331C"/>
    <w:rPr>
      <w:kern w:val="2"/>
      <w:sz w:val="18"/>
    </w:rPr>
  </w:style>
  <w:style w:type="paragraph" w:customStyle="1" w:styleId="div">
    <w:name w:val="div"/>
    <w:basedOn w:val="a"/>
    <w:rsid w:val="001A331C"/>
  </w:style>
  <w:style w:type="character" w:customStyle="1" w:styleId="custom">
    <w:name w:val="custom"/>
    <w:basedOn w:val="a0"/>
    <w:rsid w:val="001A331C"/>
  </w:style>
  <w:style w:type="paragraph" w:customStyle="1" w:styleId="p">
    <w:name w:val="p"/>
    <w:basedOn w:val="a"/>
    <w:rsid w:val="001A331C"/>
  </w:style>
  <w:style w:type="paragraph" w:customStyle="1" w:styleId="table">
    <w:name w:val="table"/>
    <w:basedOn w:val="a"/>
    <w:rsid w:val="001A331C"/>
  </w:style>
  <w:style w:type="table" w:customStyle="1" w:styleId="tableTable">
    <w:name w:val="table Table"/>
    <w:basedOn w:val="a1"/>
    <w:rsid w:val="001A331C"/>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A543-EA6D-48AE-BD75-28F979A184A3}">
  <ds:schemaRefs>
    <ds:schemaRef ds:uri="http://schemas.openxmlformats.org/officeDocument/2006/bibliography"/>
  </ds:schemaRefs>
</ds:datastoreItem>
</file>

<file path=customXml/itemProps2.xml><?xml version="1.0" encoding="utf-8"?>
<ds:datastoreItem xmlns:ds="http://schemas.openxmlformats.org/officeDocument/2006/customXml" ds:itemID="{8DB932A5-BA4B-4E25-8860-A6FF712F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4</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2024-03-20T16:01:00Z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