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66E">
      <w:pPr>
        <w:pStyle w:val="biaoge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长江证券（上海）资产管理有限公司</w:t>
      </w:r>
    </w:p>
    <w:p w:rsidR="00000000" w:rsidRDefault="0072166E">
      <w:pPr>
        <w:pStyle w:val="biaoge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关于调整旗下部分基金在中国邮政储蓄银行股份有限公司</w:t>
      </w:r>
    </w:p>
    <w:p w:rsidR="00000000" w:rsidRDefault="0072166E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“邮你同赢”平台</w:t>
      </w:r>
      <w:r>
        <w:rPr>
          <w:rFonts w:hint="eastAsia"/>
          <w:b/>
          <w:bCs/>
          <w:sz w:val="30"/>
          <w:szCs w:val="30"/>
        </w:rPr>
        <w:t>大额申购</w:t>
      </w:r>
      <w:r>
        <w:rPr>
          <w:rFonts w:hint="eastAsia"/>
          <w:b/>
          <w:bCs/>
          <w:sz w:val="30"/>
          <w:szCs w:val="30"/>
        </w:rPr>
        <w:t>业务限制金额的公告</w:t>
      </w:r>
    </w:p>
    <w:p w:rsidR="00000000" w:rsidRDefault="0072166E">
      <w:pPr>
        <w:pStyle w:val="biaogecenter"/>
        <w:rPr>
          <w:rFonts w:hint="eastAsia"/>
        </w:rPr>
      </w:pPr>
    </w:p>
    <w:p w:rsidR="00000000" w:rsidRDefault="0072166E">
      <w:pPr>
        <w:pStyle w:val="biaogecenter"/>
        <w:rPr>
          <w:rFonts w:hint="eastAsia"/>
        </w:rPr>
      </w:pPr>
      <w:r>
        <w:rPr>
          <w:rFonts w:hint="eastAsia"/>
        </w:rPr>
        <w:t>公告送出日期：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000000" w:rsidRDefault="0072166E">
      <w:pPr>
        <w:pStyle w:val="biaogecenter"/>
        <w:rPr>
          <w:rFonts w:hint="eastAsia"/>
        </w:rPr>
      </w:pPr>
    </w:p>
    <w:p w:rsidR="00000000" w:rsidRDefault="0072166E" w:rsidP="0072166E">
      <w:pPr>
        <w:spacing w:line="360" w:lineRule="auto"/>
        <w:ind w:firstLineChars="202" w:firstLine="48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</w:t>
      </w:r>
      <w:r>
        <w:rPr>
          <w:rFonts w:ascii="宋体" w:hAnsi="宋体" w:cs="宋体" w:hint="eastAsia"/>
          <w:kern w:val="0"/>
          <w:sz w:val="24"/>
          <w:szCs w:val="24"/>
        </w:rPr>
        <w:t>满足投资者的投资需求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hint="eastAsia"/>
          <w:sz w:val="24"/>
          <w:szCs w:val="24"/>
        </w:rPr>
        <w:t>长江证券（上海）资产管理有限公司</w:t>
      </w:r>
      <w:r>
        <w:rPr>
          <w:rFonts w:ascii="宋体" w:hAnsi="宋体" w:cs="宋体" w:hint="eastAsia"/>
          <w:kern w:val="0"/>
          <w:sz w:val="24"/>
          <w:szCs w:val="24"/>
        </w:rPr>
        <w:t>（以下称</w:t>
      </w:r>
      <w:r>
        <w:rPr>
          <w:rFonts w:ascii="宋体" w:hAnsi="宋体" w:cs="宋体"/>
          <w:kern w:val="0"/>
          <w:sz w:val="24"/>
          <w:szCs w:val="24"/>
        </w:rPr>
        <w:t>“</w:t>
      </w:r>
      <w:r>
        <w:rPr>
          <w:rFonts w:ascii="宋体" w:hAnsi="宋体" w:cs="宋体" w:hint="eastAsia"/>
          <w:kern w:val="0"/>
          <w:sz w:val="24"/>
          <w:szCs w:val="24"/>
        </w:rPr>
        <w:t>本公司</w:t>
      </w:r>
      <w:r>
        <w:rPr>
          <w:rFonts w:ascii="宋体" w:hAnsi="宋体" w:cs="宋体"/>
          <w:kern w:val="0"/>
          <w:sz w:val="24"/>
          <w:szCs w:val="24"/>
        </w:rPr>
        <w:t>”</w:t>
      </w:r>
      <w:r>
        <w:rPr>
          <w:rFonts w:ascii="宋体" w:hAnsi="宋体" w:cs="宋体" w:hint="eastAsia"/>
          <w:kern w:val="0"/>
          <w:sz w:val="24"/>
          <w:szCs w:val="24"/>
        </w:rPr>
        <w:t>）经与中国邮政储蓄银行股份有限公司协商一致，决定自</w:t>
      </w:r>
      <w:r>
        <w:rPr>
          <w:rFonts w:ascii="宋体" w:hAnsi="宋体" w:cs="宋体" w:hint="eastAsia"/>
          <w:kern w:val="0"/>
          <w:sz w:val="24"/>
          <w:szCs w:val="24"/>
        </w:rPr>
        <w:t>202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日起</w:t>
      </w:r>
      <w:r>
        <w:rPr>
          <w:rFonts w:ascii="宋体" w:hAnsi="宋体" w:cs="宋体" w:hint="eastAsia"/>
          <w:kern w:val="0"/>
          <w:sz w:val="24"/>
          <w:szCs w:val="24"/>
        </w:rPr>
        <w:t>调整</w:t>
      </w:r>
      <w:r>
        <w:rPr>
          <w:rFonts w:ascii="宋体" w:hAnsi="宋体" w:cs="宋体" w:hint="eastAsia"/>
          <w:kern w:val="0"/>
          <w:sz w:val="24"/>
          <w:szCs w:val="24"/>
        </w:rPr>
        <w:t>本公司旗下部分基金</w:t>
      </w:r>
      <w:r>
        <w:rPr>
          <w:rFonts w:ascii="宋体" w:hAnsi="宋体" w:cs="宋体" w:hint="eastAsia"/>
          <w:kern w:val="0"/>
          <w:sz w:val="24"/>
          <w:szCs w:val="24"/>
        </w:rPr>
        <w:t>在中国邮政储蓄银行股份有限公司“邮你同赢”平台（以下简称“邮你同赢”平台）的大额申购业务限制金额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00000" w:rsidRDefault="0072166E">
      <w:pPr>
        <w:spacing w:line="360" w:lineRule="auto"/>
        <w:ind w:left="420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一、适用基金</w:t>
      </w:r>
    </w:p>
    <w:tbl>
      <w:tblPr>
        <w:tblW w:w="4463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4"/>
        <w:gridCol w:w="1583"/>
      </w:tblGrid>
      <w:tr w:rsidR="00000000">
        <w:trPr>
          <w:jc w:val="center"/>
        </w:trPr>
        <w:tc>
          <w:tcPr>
            <w:tcW w:w="4046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基金名称</w:t>
            </w:r>
          </w:p>
        </w:tc>
        <w:tc>
          <w:tcPr>
            <w:tcW w:w="953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基金代码</w:t>
            </w:r>
          </w:p>
        </w:tc>
      </w:tr>
      <w:tr w:rsidR="00000000">
        <w:trPr>
          <w:jc w:val="center"/>
        </w:trPr>
        <w:tc>
          <w:tcPr>
            <w:tcW w:w="4046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长江乐丰纯债定期开放债券型发起式证券</w:t>
            </w:r>
            <w:r>
              <w:rPr>
                <w:rFonts w:ascii="宋体" w:hAnsi="宋体" w:cs="宋体" w:hint="eastAsia"/>
                <w:sz w:val="24"/>
                <w:szCs w:val="24"/>
              </w:rPr>
              <w:t>投资基金</w:t>
            </w:r>
          </w:p>
        </w:tc>
        <w:tc>
          <w:tcPr>
            <w:tcW w:w="953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005070</w:t>
            </w:r>
          </w:p>
        </w:tc>
      </w:tr>
      <w:tr w:rsidR="00000000">
        <w:trPr>
          <w:jc w:val="center"/>
        </w:trPr>
        <w:tc>
          <w:tcPr>
            <w:tcW w:w="4046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长江乐盈定期开放债券型发起式证券投资基金</w:t>
            </w:r>
          </w:p>
        </w:tc>
        <w:tc>
          <w:tcPr>
            <w:tcW w:w="953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005158</w:t>
            </w:r>
          </w:p>
        </w:tc>
      </w:tr>
      <w:tr w:rsidR="00000000">
        <w:trPr>
          <w:jc w:val="center"/>
        </w:trPr>
        <w:tc>
          <w:tcPr>
            <w:tcW w:w="4046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长江乐越定期开放债券型发起式证券投资基金</w:t>
            </w:r>
          </w:p>
        </w:tc>
        <w:tc>
          <w:tcPr>
            <w:tcW w:w="953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005828</w:t>
            </w:r>
          </w:p>
        </w:tc>
      </w:tr>
      <w:tr w:rsidR="00000000">
        <w:trPr>
          <w:jc w:val="center"/>
        </w:trPr>
        <w:tc>
          <w:tcPr>
            <w:tcW w:w="4046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长江乐鑫纯债定期开放债券型发起式证券投资基金</w:t>
            </w:r>
          </w:p>
        </w:tc>
        <w:tc>
          <w:tcPr>
            <w:tcW w:w="953" w:type="pct"/>
          </w:tcPr>
          <w:p w:rsidR="00000000" w:rsidRDefault="0072166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006135</w:t>
            </w:r>
          </w:p>
        </w:tc>
      </w:tr>
    </w:tbl>
    <w:p w:rsidR="00000000" w:rsidRDefault="0072166E">
      <w:pPr>
        <w:spacing w:line="360" w:lineRule="auto"/>
        <w:ind w:left="420"/>
        <w:jc w:val="left"/>
        <w:rPr>
          <w:rFonts w:hint="eastAsia"/>
          <w:b/>
          <w:kern w:val="0"/>
          <w:sz w:val="24"/>
          <w:szCs w:val="24"/>
        </w:rPr>
      </w:pPr>
    </w:p>
    <w:p w:rsidR="00000000" w:rsidRDefault="0072166E">
      <w:pPr>
        <w:spacing w:line="360" w:lineRule="auto"/>
        <w:ind w:left="420"/>
        <w:jc w:val="left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二、</w:t>
      </w:r>
      <w:r>
        <w:rPr>
          <w:rFonts w:hint="eastAsia"/>
          <w:b/>
          <w:kern w:val="0"/>
          <w:sz w:val="24"/>
          <w:szCs w:val="24"/>
        </w:rPr>
        <w:t>业务限制设置</w:t>
      </w:r>
    </w:p>
    <w:p w:rsidR="00000000" w:rsidRDefault="0072166E" w:rsidP="0072166E">
      <w:pPr>
        <w:pStyle w:val="a7"/>
        <w:spacing w:line="360" w:lineRule="auto"/>
        <w:ind w:firstLineChars="202" w:firstLine="485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自</w:t>
      </w:r>
      <w:r>
        <w:rPr>
          <w:rFonts w:ascii="宋体" w:hAnsi="宋体" w:cs="宋体" w:hint="eastAsia"/>
          <w:kern w:val="0"/>
          <w:sz w:val="24"/>
          <w:szCs w:val="24"/>
        </w:rPr>
        <w:t>202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>起</w:t>
      </w:r>
      <w:r>
        <w:rPr>
          <w:rFonts w:ascii="宋体" w:hAnsi="宋体" w:cs="宋体" w:hint="eastAsia"/>
          <w:kern w:val="0"/>
          <w:sz w:val="24"/>
          <w:szCs w:val="24"/>
        </w:rPr>
        <w:t>，投资者通过“邮你同赢”平台办理上述</w:t>
      </w:r>
      <w:r>
        <w:rPr>
          <w:rFonts w:ascii="宋体" w:hAnsi="宋体" w:cs="宋体" w:hint="eastAsia"/>
          <w:kern w:val="0"/>
          <w:sz w:val="24"/>
          <w:szCs w:val="24"/>
        </w:rPr>
        <w:t>任一</w:t>
      </w:r>
      <w:r>
        <w:rPr>
          <w:rFonts w:ascii="宋体" w:hAnsi="宋体" w:cs="宋体" w:hint="eastAsia"/>
          <w:kern w:val="0"/>
          <w:sz w:val="24"/>
          <w:szCs w:val="24"/>
        </w:rPr>
        <w:t>适用基金</w:t>
      </w:r>
      <w:r>
        <w:rPr>
          <w:rFonts w:ascii="宋体" w:hAnsi="宋体" w:cs="宋体" w:hint="eastAsia"/>
          <w:kern w:val="0"/>
          <w:sz w:val="24"/>
          <w:szCs w:val="24"/>
        </w:rPr>
        <w:t>申购（含转换转入、定期定额投资，下同）</w:t>
      </w:r>
      <w:r>
        <w:rPr>
          <w:rFonts w:ascii="宋体" w:hAnsi="宋体" w:cs="宋体" w:hint="eastAsia"/>
          <w:kern w:val="0"/>
          <w:sz w:val="24"/>
          <w:szCs w:val="24"/>
        </w:rPr>
        <w:t>业务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单笔申购申请导致单个</w:t>
      </w:r>
      <w:r>
        <w:rPr>
          <w:rFonts w:ascii="宋体" w:hAnsi="宋体" w:cs="宋体" w:hint="eastAsia"/>
          <w:kern w:val="0"/>
          <w:sz w:val="24"/>
          <w:szCs w:val="24"/>
        </w:rPr>
        <w:t>交易</w:t>
      </w:r>
      <w:r>
        <w:rPr>
          <w:rFonts w:ascii="宋体" w:hAnsi="宋体" w:cs="宋体" w:hint="eastAsia"/>
          <w:kern w:val="0"/>
          <w:sz w:val="24"/>
          <w:szCs w:val="24"/>
        </w:rPr>
        <w:t>账户</w:t>
      </w:r>
      <w:r>
        <w:rPr>
          <w:rFonts w:ascii="宋体" w:hAnsi="宋体" w:cs="宋体" w:hint="eastAsia"/>
          <w:kern w:val="0"/>
          <w:sz w:val="24"/>
          <w:szCs w:val="24"/>
        </w:rPr>
        <w:t>持有上述任一适用基金的市值</w:t>
      </w:r>
      <w:r>
        <w:rPr>
          <w:rStyle w:val="a6"/>
          <w:rFonts w:ascii="宋体" w:hAnsi="宋体" w:cs="宋体" w:hint="eastAsia"/>
          <w:kern w:val="0"/>
          <w:sz w:val="24"/>
          <w:szCs w:val="24"/>
        </w:rPr>
        <w:footnoteReference w:id="1"/>
      </w:r>
      <w:r>
        <w:rPr>
          <w:rFonts w:ascii="宋体" w:hAnsi="宋体" w:cs="宋体" w:hint="eastAsia"/>
          <w:kern w:val="0"/>
          <w:sz w:val="24"/>
          <w:szCs w:val="24"/>
        </w:rPr>
        <w:t>与本笔申购金额（</w:t>
      </w:r>
      <w:r>
        <w:rPr>
          <w:rFonts w:ascii="宋体" w:hAnsi="宋体" w:cs="宋体" w:hint="eastAsia"/>
          <w:kern w:val="0"/>
          <w:sz w:val="24"/>
          <w:szCs w:val="24"/>
        </w:rPr>
        <w:t>需扣除交易费用）</w:t>
      </w:r>
      <w:r>
        <w:rPr>
          <w:rFonts w:ascii="宋体" w:hAnsi="宋体" w:cs="宋体" w:hint="eastAsia"/>
          <w:kern w:val="0"/>
          <w:sz w:val="24"/>
          <w:szCs w:val="24"/>
        </w:rPr>
        <w:t>之和</w:t>
      </w:r>
      <w:r>
        <w:rPr>
          <w:rFonts w:ascii="宋体" w:hAnsi="宋体" w:cs="宋体" w:hint="eastAsia"/>
          <w:kern w:val="0"/>
          <w:sz w:val="24"/>
          <w:szCs w:val="24"/>
        </w:rPr>
        <w:t>超过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  <w:r>
        <w:rPr>
          <w:rFonts w:ascii="宋体" w:hAnsi="宋体" w:cs="宋体" w:hint="eastAsia"/>
          <w:kern w:val="0"/>
          <w:sz w:val="24"/>
          <w:szCs w:val="24"/>
        </w:rPr>
        <w:t>元</w:t>
      </w:r>
      <w:r>
        <w:rPr>
          <w:rFonts w:ascii="宋体" w:hAnsi="宋体" w:cs="宋体" w:hint="eastAsia"/>
          <w:kern w:val="0"/>
          <w:sz w:val="24"/>
          <w:szCs w:val="24"/>
        </w:rPr>
        <w:t>（不含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  <w:r>
        <w:rPr>
          <w:rFonts w:ascii="宋体" w:hAnsi="宋体" w:cs="宋体" w:hint="eastAsia"/>
          <w:kern w:val="0"/>
          <w:sz w:val="24"/>
          <w:szCs w:val="24"/>
        </w:rPr>
        <w:t>元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cs="宋体" w:hint="eastAsia"/>
          <w:kern w:val="0"/>
          <w:sz w:val="24"/>
          <w:szCs w:val="24"/>
        </w:rPr>
        <w:t>，本公司有权拒绝该笔申请；如单个</w:t>
      </w:r>
      <w:r>
        <w:rPr>
          <w:rFonts w:ascii="宋体" w:hAnsi="宋体" w:cs="宋体" w:hint="eastAsia"/>
          <w:kern w:val="0"/>
          <w:sz w:val="24"/>
          <w:szCs w:val="24"/>
        </w:rPr>
        <w:t>交易</w:t>
      </w:r>
      <w:r>
        <w:rPr>
          <w:rFonts w:ascii="宋体" w:hAnsi="宋体" w:cs="宋体" w:hint="eastAsia"/>
          <w:kern w:val="0"/>
          <w:sz w:val="24"/>
          <w:szCs w:val="24"/>
        </w:rPr>
        <w:t>账户</w:t>
      </w:r>
      <w:r>
        <w:rPr>
          <w:rFonts w:ascii="宋体" w:hAnsi="宋体" w:cs="宋体" w:hint="eastAsia"/>
          <w:kern w:val="0"/>
          <w:sz w:val="24"/>
          <w:szCs w:val="24"/>
        </w:rPr>
        <w:t>单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 w:hint="eastAsia"/>
          <w:kern w:val="0"/>
          <w:sz w:val="24"/>
          <w:szCs w:val="24"/>
        </w:rPr>
        <w:t>多笔申购申请导致单个</w:t>
      </w:r>
      <w:r>
        <w:rPr>
          <w:rFonts w:ascii="宋体" w:hAnsi="宋体" w:cs="宋体" w:hint="eastAsia"/>
          <w:kern w:val="0"/>
          <w:sz w:val="24"/>
          <w:szCs w:val="24"/>
        </w:rPr>
        <w:t>交易</w:t>
      </w:r>
      <w:r>
        <w:rPr>
          <w:rFonts w:ascii="宋体" w:hAnsi="宋体" w:cs="宋体" w:hint="eastAsia"/>
          <w:kern w:val="0"/>
          <w:sz w:val="24"/>
          <w:szCs w:val="24"/>
        </w:rPr>
        <w:t>账户</w:t>
      </w:r>
      <w:r>
        <w:rPr>
          <w:rFonts w:ascii="宋体" w:hAnsi="宋体" w:cs="宋体" w:hint="eastAsia"/>
          <w:kern w:val="0"/>
          <w:sz w:val="24"/>
          <w:szCs w:val="24"/>
        </w:rPr>
        <w:t>持有上述任一适用基金的市值与</w:t>
      </w:r>
      <w:r>
        <w:rPr>
          <w:rFonts w:ascii="宋体" w:hAnsi="宋体" w:cs="宋体" w:hint="eastAsia"/>
          <w:kern w:val="0"/>
          <w:sz w:val="24"/>
          <w:szCs w:val="24"/>
        </w:rPr>
        <w:t>该日多</w:t>
      </w:r>
      <w:r>
        <w:rPr>
          <w:rFonts w:ascii="宋体" w:hAnsi="宋体" w:cs="宋体"/>
          <w:kern w:val="0"/>
          <w:sz w:val="24"/>
          <w:szCs w:val="24"/>
        </w:rPr>
        <w:t>笔</w:t>
      </w:r>
      <w:r>
        <w:rPr>
          <w:rFonts w:ascii="宋体" w:hAnsi="宋体" w:cs="宋体" w:hint="eastAsia"/>
          <w:kern w:val="0"/>
          <w:sz w:val="24"/>
          <w:szCs w:val="24"/>
        </w:rPr>
        <w:t>申购金额（</w:t>
      </w:r>
      <w:r>
        <w:rPr>
          <w:rFonts w:ascii="宋体" w:hAnsi="宋体" w:cs="宋体" w:hint="eastAsia"/>
          <w:kern w:val="0"/>
          <w:sz w:val="24"/>
          <w:szCs w:val="24"/>
        </w:rPr>
        <w:t>需扣除交易费用）</w:t>
      </w:r>
      <w:r>
        <w:rPr>
          <w:rFonts w:ascii="宋体" w:hAnsi="宋体" w:cs="宋体" w:hint="eastAsia"/>
          <w:kern w:val="0"/>
          <w:sz w:val="24"/>
          <w:szCs w:val="24"/>
        </w:rPr>
        <w:t>之和</w:t>
      </w:r>
      <w:r>
        <w:rPr>
          <w:rFonts w:ascii="宋体" w:hAnsi="宋体" w:cs="宋体" w:hint="eastAsia"/>
          <w:kern w:val="0"/>
          <w:sz w:val="24"/>
          <w:szCs w:val="24"/>
        </w:rPr>
        <w:t>超过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  <w:r>
        <w:rPr>
          <w:rFonts w:ascii="宋体" w:hAnsi="宋体" w:cs="宋体" w:hint="eastAsia"/>
          <w:kern w:val="0"/>
          <w:sz w:val="24"/>
          <w:szCs w:val="24"/>
        </w:rPr>
        <w:t>元</w:t>
      </w:r>
      <w:r>
        <w:rPr>
          <w:rFonts w:ascii="宋体" w:hAnsi="宋体" w:cs="宋体" w:hint="eastAsia"/>
          <w:kern w:val="0"/>
          <w:sz w:val="24"/>
          <w:szCs w:val="24"/>
        </w:rPr>
        <w:t>（不含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  <w:r>
        <w:rPr>
          <w:rFonts w:ascii="宋体" w:hAnsi="宋体" w:cs="宋体" w:hint="eastAsia"/>
          <w:kern w:val="0"/>
          <w:sz w:val="24"/>
          <w:szCs w:val="24"/>
        </w:rPr>
        <w:t>元</w:t>
      </w:r>
      <w:r>
        <w:rPr>
          <w:rFonts w:ascii="宋体" w:hAnsi="宋体" w:cs="宋体" w:hint="eastAsia"/>
          <w:kern w:val="0"/>
          <w:sz w:val="24"/>
          <w:szCs w:val="24"/>
        </w:rPr>
        <w:t>）的，本公司将按照申请时间先后顺序，对逐笔累加至不超过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  <w:r>
        <w:rPr>
          <w:rFonts w:ascii="宋体" w:hAnsi="宋体" w:cs="宋体" w:hint="eastAsia"/>
          <w:kern w:val="0"/>
          <w:sz w:val="24"/>
          <w:szCs w:val="24"/>
        </w:rPr>
        <w:t>元</w:t>
      </w:r>
      <w:r>
        <w:rPr>
          <w:rFonts w:ascii="宋体" w:hAnsi="宋体" w:cs="宋体" w:hint="eastAsia"/>
          <w:kern w:val="0"/>
          <w:sz w:val="24"/>
          <w:szCs w:val="24"/>
        </w:rPr>
        <w:t>限额的申请予以确认，其余申请有权予以拒绝。</w:t>
      </w:r>
      <w:r>
        <w:rPr>
          <w:rFonts w:ascii="宋体" w:hAnsi="宋体" w:cs="宋体" w:hint="eastAsia"/>
          <w:kern w:val="0"/>
          <w:sz w:val="24"/>
          <w:szCs w:val="24"/>
        </w:rPr>
        <w:t>针对单笔申购申请，仅有确认或拒绝两种处理方式，不存在对单笔申请的部分确认。</w:t>
      </w:r>
    </w:p>
    <w:p w:rsidR="00000000" w:rsidRDefault="0072166E" w:rsidP="0072166E">
      <w:pPr>
        <w:pStyle w:val="a7"/>
        <w:spacing w:line="360" w:lineRule="auto"/>
        <w:ind w:firstLineChars="202" w:firstLine="485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在设置</w:t>
      </w:r>
      <w:r>
        <w:rPr>
          <w:rFonts w:ascii="宋体" w:hAnsi="宋体" w:cs="宋体" w:hint="eastAsia"/>
          <w:kern w:val="0"/>
          <w:sz w:val="24"/>
          <w:szCs w:val="24"/>
        </w:rPr>
        <w:t>上述</w:t>
      </w:r>
      <w:r>
        <w:rPr>
          <w:rFonts w:ascii="宋体" w:hAnsi="宋体" w:cs="宋体" w:hint="eastAsia"/>
          <w:kern w:val="0"/>
          <w:sz w:val="24"/>
          <w:szCs w:val="24"/>
        </w:rPr>
        <w:t>业务</w:t>
      </w:r>
      <w:r>
        <w:rPr>
          <w:rFonts w:ascii="宋体" w:hAnsi="宋体" w:cs="宋体" w:hint="eastAsia"/>
          <w:kern w:val="0"/>
          <w:sz w:val="24"/>
          <w:szCs w:val="24"/>
        </w:rPr>
        <w:t>限制</w:t>
      </w:r>
      <w:r>
        <w:rPr>
          <w:rFonts w:ascii="宋体" w:hAnsi="宋体" w:cs="宋体" w:hint="eastAsia"/>
          <w:kern w:val="0"/>
          <w:sz w:val="24"/>
          <w:szCs w:val="24"/>
        </w:rPr>
        <w:t>期间，</w:t>
      </w:r>
      <w:r>
        <w:rPr>
          <w:rFonts w:ascii="宋体" w:hAnsi="宋体" w:cs="宋体" w:hint="eastAsia"/>
          <w:kern w:val="0"/>
          <w:sz w:val="24"/>
          <w:szCs w:val="24"/>
        </w:rPr>
        <w:t>上述适用</w:t>
      </w:r>
      <w:r>
        <w:rPr>
          <w:rFonts w:ascii="宋体" w:hAnsi="宋体" w:cs="宋体" w:hint="eastAsia"/>
          <w:kern w:val="0"/>
          <w:sz w:val="24"/>
          <w:szCs w:val="24"/>
        </w:rPr>
        <w:t>基金的赎回业务将正常办理。基金管理人可以根据市场情况调整上述</w:t>
      </w:r>
      <w:r>
        <w:rPr>
          <w:rFonts w:ascii="宋体" w:hAnsi="宋体" w:cs="宋体" w:hint="eastAsia"/>
          <w:kern w:val="0"/>
          <w:sz w:val="24"/>
          <w:szCs w:val="24"/>
        </w:rPr>
        <w:t>业务</w:t>
      </w:r>
      <w:r>
        <w:rPr>
          <w:rFonts w:ascii="宋体" w:hAnsi="宋体" w:cs="宋体" w:hint="eastAsia"/>
          <w:kern w:val="0"/>
          <w:sz w:val="24"/>
          <w:szCs w:val="24"/>
        </w:rPr>
        <w:t>限制，届时详见相关公告。</w:t>
      </w:r>
    </w:p>
    <w:p w:rsidR="00000000" w:rsidRDefault="0072166E">
      <w:pPr>
        <w:spacing w:line="360" w:lineRule="auto"/>
        <w:ind w:firstLineChars="200" w:firstLine="482"/>
        <w:jc w:val="left"/>
        <w:rPr>
          <w:rFonts w:hint="eastAsia"/>
          <w:b/>
          <w:kern w:val="0"/>
          <w:sz w:val="24"/>
          <w:szCs w:val="24"/>
        </w:rPr>
      </w:pPr>
    </w:p>
    <w:p w:rsidR="00000000" w:rsidRDefault="0072166E">
      <w:pPr>
        <w:spacing w:line="360" w:lineRule="auto"/>
        <w:ind w:firstLineChars="200" w:firstLine="482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三、其他需要提示的事项</w:t>
      </w:r>
    </w:p>
    <w:p w:rsidR="00000000" w:rsidRDefault="0072166E">
      <w:pPr>
        <w:pStyle w:val="neirong"/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投</w:t>
      </w:r>
      <w:r>
        <w:rPr>
          <w:rFonts w:hint="eastAsia"/>
        </w:rPr>
        <w:t>资者欲了解关于</w:t>
      </w:r>
      <w:r>
        <w:rPr>
          <w:rFonts w:hint="eastAsia"/>
        </w:rPr>
        <w:t>上述业务限制</w:t>
      </w:r>
      <w:r>
        <w:rPr>
          <w:rFonts w:hint="eastAsia"/>
        </w:rPr>
        <w:t>的详细信息，请仔细阅</w:t>
      </w:r>
      <w:r>
        <w:rPr>
          <w:rFonts w:hint="eastAsia"/>
        </w:rPr>
        <w:t>读</w:t>
      </w:r>
      <w:r>
        <w:rPr>
          <w:rFonts w:hint="eastAsia"/>
        </w:rPr>
        <w:t>上述适用</w:t>
      </w:r>
      <w:r>
        <w:rPr>
          <w:rFonts w:hint="eastAsia"/>
        </w:rPr>
        <w:t>基金的基金合同、招募说明书等法律文件；如有疑问，请拨打基金管理人客服电话</w:t>
      </w:r>
      <w:r>
        <w:rPr>
          <w:rFonts w:hint="eastAsia"/>
        </w:rPr>
        <w:t>4001-166-866</w:t>
      </w:r>
      <w:r>
        <w:rPr>
          <w:rFonts w:hint="eastAsia"/>
        </w:rPr>
        <w:t>或登录基</w:t>
      </w:r>
      <w:r>
        <w:rPr>
          <w:rFonts w:hint="eastAsia"/>
        </w:rPr>
        <w:lastRenderedPageBreak/>
        <w:t>金管理人网站</w:t>
      </w:r>
      <w:r>
        <w:rPr>
          <w:rFonts w:hint="eastAsia"/>
        </w:rPr>
        <w:t>www.cjzcgl.com</w:t>
      </w:r>
      <w:r>
        <w:rPr>
          <w:rFonts w:hint="eastAsia"/>
        </w:rPr>
        <w:t>获取相关信息。</w:t>
      </w:r>
      <w:r>
        <w:rPr>
          <w:rFonts w:hint="eastAsia"/>
        </w:rPr>
        <w:br/>
      </w:r>
      <w:r>
        <w:rPr>
          <w:rFonts w:hint="eastAsia"/>
        </w:rPr>
        <w:t>  </w:t>
      </w:r>
      <w:r>
        <w:rPr>
          <w:rFonts w:hint="eastAsia"/>
        </w:rPr>
        <w:t>风险提示：</w:t>
      </w:r>
      <w:r>
        <w:rPr>
          <w:rFonts w:hint="eastAsia"/>
        </w:rPr>
        <w:t>基金</w:t>
      </w:r>
      <w:r>
        <w:rPr>
          <w:rFonts w:hint="eastAsia"/>
        </w:rPr>
        <w:t>管理人承诺以诚实信用、勤勉尽责的原则管理和运用基金资产，但不保证基金一定盈利，也不保证最低收益。投资人投资基金前应认真阅读基金的《基金合同》、《招募说明书》、《基金产品资料概要》等法律文件。</w:t>
      </w:r>
      <w:r>
        <w:rPr>
          <w:rFonts w:hint="eastAsia"/>
        </w:rPr>
        <w:br/>
      </w:r>
      <w:r>
        <w:rPr>
          <w:rFonts w:hint="eastAsia"/>
        </w:rPr>
        <w:t>  </w:t>
      </w:r>
    </w:p>
    <w:p w:rsidR="00000000" w:rsidRDefault="0072166E">
      <w:pPr>
        <w:pStyle w:val="biaogeright"/>
        <w:rPr>
          <w:rFonts w:hAnsi="Calibri" w:hint="eastAsia"/>
          <w:color w:val="000000"/>
        </w:rPr>
      </w:pPr>
    </w:p>
    <w:p w:rsidR="00000000" w:rsidRDefault="0072166E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长江证券（上海）资产管理有限公司</w:t>
      </w:r>
    </w:p>
    <w:p w:rsidR="00000000" w:rsidRDefault="0072166E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2024</w:t>
      </w:r>
      <w:r>
        <w:rPr>
          <w:rFonts w:hAnsi="Calibri" w:hint="eastAsia"/>
          <w:color w:val="000000"/>
        </w:rPr>
        <w:t>年</w:t>
      </w:r>
      <w:r>
        <w:rPr>
          <w:rFonts w:hAnsi="Calibri" w:hint="eastAsia"/>
          <w:color w:val="000000"/>
        </w:rPr>
        <w:t>03</w:t>
      </w:r>
      <w:r>
        <w:rPr>
          <w:rFonts w:hAnsi="Calibri" w:hint="eastAsia"/>
          <w:color w:val="000000"/>
        </w:rPr>
        <w:t>月</w:t>
      </w:r>
      <w:r>
        <w:rPr>
          <w:rFonts w:hAnsi="Calibri" w:hint="eastAsia"/>
          <w:color w:val="000000"/>
        </w:rPr>
        <w:t>20</w:t>
      </w:r>
      <w:r>
        <w:rPr>
          <w:rFonts w:hAnsi="Calibri" w:hint="eastAsia"/>
          <w:color w:val="000000"/>
        </w:rPr>
        <w:t>日</w:t>
      </w:r>
    </w:p>
    <w:sectPr w:rsidR="00000000">
      <w:pgSz w:w="11926" w:h="16867"/>
      <w:pgMar w:top="1418" w:right="1418" w:bottom="853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2166E">
      <w:r>
        <w:separator/>
      </w:r>
    </w:p>
  </w:endnote>
  <w:endnote w:type="continuationSeparator" w:id="0">
    <w:p w:rsidR="00000000" w:rsidRDefault="0072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2166E">
      <w:r>
        <w:separator/>
      </w:r>
    </w:p>
  </w:footnote>
  <w:footnote w:type="continuationSeparator" w:id="0">
    <w:p w:rsidR="00000000" w:rsidRDefault="0072166E">
      <w:r>
        <w:continuationSeparator/>
      </w:r>
    </w:p>
  </w:footnote>
  <w:footnote w:id="1">
    <w:p w:rsidR="00000000" w:rsidRDefault="0072166E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ascii="宋体" w:hAnsi="宋体" w:cs="宋体" w:hint="eastAsia"/>
          <w:szCs w:val="18"/>
        </w:rPr>
        <w:t>持有基金的市值</w:t>
      </w:r>
      <w:r>
        <w:rPr>
          <w:rFonts w:ascii="宋体" w:hAnsi="宋体" w:cs="宋体"/>
          <w:szCs w:val="18"/>
        </w:rPr>
        <w:t xml:space="preserve"> = </w:t>
      </w:r>
      <w:r>
        <w:rPr>
          <w:rFonts w:ascii="宋体" w:hAnsi="宋体" w:cs="宋体" w:hint="eastAsia"/>
          <w:szCs w:val="18"/>
        </w:rPr>
        <w:t>T</w:t>
      </w:r>
      <w:r>
        <w:rPr>
          <w:rFonts w:ascii="宋体" w:hAnsi="宋体" w:cs="宋体" w:hint="eastAsia"/>
          <w:szCs w:val="18"/>
        </w:rPr>
        <w:t>日</w:t>
      </w:r>
      <w:r>
        <w:rPr>
          <w:rFonts w:ascii="宋体" w:hAnsi="宋体" w:cs="宋体" w:hint="eastAsia"/>
          <w:szCs w:val="18"/>
        </w:rPr>
        <w:t>持有</w:t>
      </w:r>
      <w:r>
        <w:rPr>
          <w:rFonts w:ascii="宋体" w:hAnsi="宋体" w:cs="宋体"/>
          <w:szCs w:val="18"/>
        </w:rPr>
        <w:t>份额</w:t>
      </w:r>
      <w:r>
        <w:rPr>
          <w:rFonts w:ascii="宋体" w:hAnsi="宋体" w:cs="宋体"/>
          <w:szCs w:val="18"/>
        </w:rPr>
        <w:t>×T</w:t>
      </w:r>
      <w:r>
        <w:rPr>
          <w:rFonts w:ascii="宋体" w:hAnsi="宋体" w:cs="宋体"/>
          <w:szCs w:val="18"/>
        </w:rPr>
        <w:t>日基金份额净</w:t>
      </w:r>
      <w:r>
        <w:rPr>
          <w:rFonts w:ascii="宋体" w:hAnsi="宋体" w:cs="宋体" w:hint="eastAsia"/>
          <w:szCs w:val="18"/>
        </w:rPr>
        <w:t>值（</w:t>
      </w:r>
      <w:r>
        <w:rPr>
          <w:rFonts w:ascii="宋体" w:hAnsi="宋体" w:cs="宋体" w:hint="eastAsia"/>
          <w:szCs w:val="18"/>
        </w:rPr>
        <w:t>T</w:t>
      </w:r>
      <w:r>
        <w:rPr>
          <w:rFonts w:ascii="宋体" w:hAnsi="宋体" w:cs="宋体" w:hint="eastAsia"/>
          <w:szCs w:val="18"/>
        </w:rPr>
        <w:t>日为业务</w:t>
      </w:r>
      <w:r>
        <w:rPr>
          <w:rFonts w:ascii="宋体" w:hAnsi="宋体" w:cs="宋体" w:hint="eastAsia"/>
          <w:szCs w:val="18"/>
        </w:rPr>
        <w:t>申请日）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TrackMoves/>
  <w:defaultTabStop w:val="7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97F"/>
    <w:rsid w:val="0007097F"/>
    <w:rsid w:val="0072166E"/>
    <w:rsid w:val="00A72AD3"/>
    <w:rsid w:val="00D02B2D"/>
    <w:rsid w:val="00E35639"/>
    <w:rsid w:val="0146001F"/>
    <w:rsid w:val="02FB5232"/>
    <w:rsid w:val="1DF35969"/>
    <w:rsid w:val="24016938"/>
    <w:rsid w:val="24203AC3"/>
    <w:rsid w:val="303C0BF5"/>
    <w:rsid w:val="33B75CF3"/>
    <w:rsid w:val="34FF234D"/>
    <w:rsid w:val="465B6163"/>
    <w:rsid w:val="588A73CF"/>
    <w:rsid w:val="679D7632"/>
    <w:rsid w:val="7C5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5">
    <w:name w:val="footnote text"/>
    <w:basedOn w:val="a"/>
    <w:uiPriority w:val="99"/>
    <w:unhideWhenUsed/>
    <w:pPr>
      <w:snapToGrid w:val="0"/>
      <w:jc w:val="left"/>
    </w:pPr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4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ZHONGM</cp:lastModifiedBy>
  <cp:revision>2</cp:revision>
  <dcterms:created xsi:type="dcterms:W3CDTF">2024-03-19T16:01:00Z</dcterms:created>
  <dcterms:modified xsi:type="dcterms:W3CDTF">2024-03-19T16:01:00Z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63A50C18A0E84F729AB13ABB245125A3</vt:lpwstr>
  </property>
</Properties>
</file>