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bookmarkStart w:id="0" w:name="_GoBack"/>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EE3082" w:rsidRPr="00EE3082">
        <w:rPr>
          <w:rFonts w:ascii="Arial" w:eastAsia="宋体" w:hAnsi="Arial" w:cs="Arial" w:hint="eastAsia"/>
          <w:b/>
          <w:sz w:val="28"/>
          <w:szCs w:val="28"/>
        </w:rPr>
        <w:t>华福证券有限责任公司</w:t>
      </w:r>
      <w:r>
        <w:rPr>
          <w:rFonts w:ascii="Arial" w:eastAsia="宋体" w:hAnsi="Arial" w:cs="Arial"/>
          <w:b/>
          <w:sz w:val="28"/>
          <w:szCs w:val="28"/>
        </w:rPr>
        <w:t>申购费率优惠活动的公告</w:t>
      </w:r>
    </w:p>
    <w:bookmarkEnd w:id="0"/>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EE3082">
        <w:rPr>
          <w:rFonts w:ascii="Arial" w:eastAsia="宋体" w:hAnsi="Arial" w:cs="Arial" w:hint="eastAsia"/>
          <w:sz w:val="24"/>
          <w:szCs w:val="24"/>
        </w:rPr>
        <w:t>华福证券</w:t>
      </w:r>
      <w:r w:rsidR="00EE3082" w:rsidRPr="00A8411B">
        <w:rPr>
          <w:rFonts w:ascii="Arial" w:eastAsia="宋体" w:hAnsi="Arial" w:cs="Arial" w:hint="eastAsia"/>
          <w:sz w:val="24"/>
          <w:szCs w:val="24"/>
        </w:rPr>
        <w:t>有限责任公司</w:t>
      </w:r>
      <w:r w:rsidR="008C2E2E">
        <w:rPr>
          <w:rFonts w:ascii="Arial" w:eastAsia="宋体" w:hAnsi="Arial" w:cs="Arial"/>
          <w:sz w:val="24"/>
          <w:szCs w:val="24"/>
        </w:rPr>
        <w:t>（以下简称</w:t>
      </w:r>
      <w:r w:rsidR="008C2E2E">
        <w:rPr>
          <w:rFonts w:ascii="Arial" w:eastAsia="宋体" w:hAnsi="Arial" w:cs="Arial"/>
          <w:sz w:val="24"/>
          <w:szCs w:val="24"/>
        </w:rPr>
        <w:t>“</w:t>
      </w:r>
      <w:r w:rsidR="00EE3082">
        <w:rPr>
          <w:rFonts w:ascii="Arial" w:eastAsia="宋体" w:hAnsi="Arial" w:cs="Arial" w:hint="eastAsia"/>
          <w:sz w:val="24"/>
          <w:szCs w:val="24"/>
        </w:rPr>
        <w:t>华福证券</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sidR="00EE3082">
        <w:rPr>
          <w:rFonts w:ascii="Arial" w:eastAsia="宋体" w:hAnsi="Arial" w:cs="Arial"/>
          <w:sz w:val="24"/>
          <w:szCs w:val="24"/>
        </w:rPr>
        <w:t>2024</w:t>
      </w:r>
      <w:r w:rsidR="00EE3082">
        <w:rPr>
          <w:rFonts w:ascii="Arial" w:eastAsia="宋体" w:hAnsi="Arial" w:cs="Arial"/>
          <w:sz w:val="24"/>
          <w:szCs w:val="24"/>
        </w:rPr>
        <w:t>年</w:t>
      </w:r>
      <w:r w:rsidR="00EE3082">
        <w:rPr>
          <w:rFonts w:ascii="Arial" w:eastAsia="宋体" w:hAnsi="Arial" w:cs="Arial"/>
          <w:sz w:val="24"/>
          <w:szCs w:val="24"/>
        </w:rPr>
        <w:t>3</w:t>
      </w:r>
      <w:r w:rsidR="00EE3082">
        <w:rPr>
          <w:rFonts w:ascii="Arial" w:eastAsia="宋体" w:hAnsi="Arial" w:cs="Arial"/>
          <w:sz w:val="24"/>
          <w:szCs w:val="24"/>
        </w:rPr>
        <w:t>月</w:t>
      </w:r>
      <w:r w:rsidR="00EE3082">
        <w:rPr>
          <w:rFonts w:ascii="Arial" w:eastAsia="宋体" w:hAnsi="Arial" w:cs="Arial"/>
          <w:sz w:val="24"/>
          <w:szCs w:val="24"/>
        </w:rPr>
        <w:t>20</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EE3082">
        <w:rPr>
          <w:rFonts w:ascii="Arial" w:eastAsia="宋体" w:hAnsi="Arial" w:cs="Arial" w:hint="eastAsia"/>
          <w:sz w:val="24"/>
          <w:szCs w:val="24"/>
        </w:rPr>
        <w:t>华福证券</w:t>
      </w:r>
      <w:r>
        <w:rPr>
          <w:rFonts w:ascii="Arial" w:eastAsia="宋体" w:hAnsi="Arial" w:cs="Arial"/>
          <w:sz w:val="24"/>
          <w:szCs w:val="24"/>
        </w:rPr>
        <w:t>申购（含定期定额投资）费率优惠活动。</w:t>
      </w:r>
    </w:p>
    <w:p w:rsidR="00E53C93" w:rsidRPr="00CE1BBC"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562" w:type="dxa"/>
        <w:tblInd w:w="-5" w:type="dxa"/>
        <w:tblLook w:val="04A0"/>
      </w:tblPr>
      <w:tblGrid>
        <w:gridCol w:w="704"/>
        <w:gridCol w:w="1506"/>
        <w:gridCol w:w="6352"/>
      </w:tblGrid>
      <w:tr w:rsidR="00A514D2" w:rsidRPr="005E4B40" w:rsidTr="008C53D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center"/>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000279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华商红利优选灵活配置混合型证券投资基金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000390</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华商优势行业灵活配置混合型证券投资基金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000541</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华商创新成长灵活配置混合型发起式证券投资基金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000609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华商新量化灵活配置混合型证券投资基金A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5</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000654</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华商新锐产业灵活配置混合型证券投资基金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000800</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华商未来主题混合型证券投资基金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7</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001106</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华商健康生活灵活配置混合型证券投资基金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8</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001143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华商量化进取灵活配置混合型证券投资基金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9</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001448</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华商双翼平衡混合型证券投资基金A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10</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001449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华商双驱优选灵活配置混合型证券投资基金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11</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001457</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华商新常态灵活配置混合型证券投资基金A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12</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001723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华商新动力混合型证券投资基金A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13</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001822</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华商智能生活灵活配置混合型证券投资基金A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14</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001933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华商新兴活力灵活配置混合型证券投资基金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15</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001959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华商乐享互联灵活配置混合型证券投资基金A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16</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002669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华商万众创新灵活配置混合型证券投资基金A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17</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002924</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华商瑞鑫定期开放债券型证券投资基金</w:t>
            </w:r>
          </w:p>
          <w:p w:rsidR="00A8411B" w:rsidRPr="00A8411B" w:rsidRDefault="00A8411B" w:rsidP="00A8411B">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18</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003092</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华商丰利增强定期开放债券型证券投资基金A</w:t>
            </w:r>
          </w:p>
          <w:p w:rsidR="00A8411B" w:rsidRPr="00A8411B" w:rsidRDefault="00A8411B" w:rsidP="00A8411B">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19</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003403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华商瑞丰短债债券型证券投资基金A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20</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003598</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华商润丰灵活配置混合型证券投资基金A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21</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004189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华商消费行业股票型证券投资基金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22</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004423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华商研究精选灵活配置混合型证券投资基金A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23</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007683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华商转债精选债券型证券投资基金A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24</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007685</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华商电子行业量化股票型发起式证券投资基金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25</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007853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华商计算机行业量化股票型发起式证券投资基金A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26</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008009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华商高端装备制造股票型证券投资基金A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lastRenderedPageBreak/>
              <w:t>27</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008107</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华商医药医疗行业股票型证券投资基金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28</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008488</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华商恒益稳健混合型证券投资基金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29</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008555</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华商龙头优势混合型证券投资基金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30</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008961</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华商科技创新混合型证券投资基金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31</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010293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华商量化优质精选混合型证券投资基金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32</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010550</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华商双擎领航混合型证券投资基金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33</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010761</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华商甄选回报混合型证券投资基金A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34</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011369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华商均衡成长混合型证券投资基金A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35</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012056</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华商嘉悦平衡养老目标三年持有期混合型发起式基金中基金（FOF）A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36</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018595</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华商利欣回报债券型证券投资基金A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37</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630001</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华商领先企业混合型开放式证券投资基金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38</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630002</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华商盛世成长混合型证券投资基金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39</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630003</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华商收益增强债券型证券投资基金A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40</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630005</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华商动态阿尔法灵活配置混合型证券投资基金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41</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630006</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华商产业升级混合型证券投资基金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42</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630007</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华商稳健双利债券型证券投资基金A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43</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630008</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华商策略精选灵活配置混合型证券投资基金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44</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630009</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华商稳定增利债券型证券投资基金A</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45</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630010</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华商价值精选混合型证券投资基金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46</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630011</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华商主题精选混合型证券投资基金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47</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630015</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华商大盘量化精选灵活配置混合型证券投资基金</w:t>
            </w:r>
          </w:p>
        </w:tc>
      </w:tr>
      <w:tr w:rsidR="00A8411B" w:rsidRPr="00A8411B"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48</w:t>
            </w:r>
          </w:p>
        </w:tc>
        <w:tc>
          <w:tcPr>
            <w:tcW w:w="1506"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630016</w:t>
            </w:r>
          </w:p>
        </w:tc>
        <w:tc>
          <w:tcPr>
            <w:tcW w:w="6352" w:type="dxa"/>
            <w:tcBorders>
              <w:top w:val="nil"/>
              <w:left w:val="nil"/>
              <w:bottom w:val="single" w:sz="4" w:space="0" w:color="auto"/>
              <w:right w:val="single" w:sz="4" w:space="0" w:color="auto"/>
            </w:tcBorders>
            <w:shd w:val="clear" w:color="auto" w:fill="auto"/>
            <w:noWrap/>
            <w:vAlign w:val="center"/>
            <w:hideMark/>
          </w:tcPr>
          <w:p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华商价值共享灵活配置混合型发起式证券投资基金</w:t>
            </w:r>
          </w:p>
        </w:tc>
      </w:tr>
    </w:tbl>
    <w:p w:rsidR="008D490E" w:rsidRDefault="00637473" w:rsidP="00637473">
      <w:pPr>
        <w:spacing w:line="360" w:lineRule="auto"/>
        <w:rPr>
          <w:rFonts w:ascii="Arial" w:eastAsia="宋体" w:hAnsi="Arial" w:cs="Arial"/>
          <w:b/>
          <w:szCs w:val="24"/>
        </w:rPr>
      </w:pPr>
      <w:r w:rsidRPr="00340DAA">
        <w:rPr>
          <w:rFonts w:ascii="Arial" w:eastAsia="宋体" w:hAnsi="Arial" w:cs="Arial" w:hint="eastAsia"/>
          <w:b/>
          <w:szCs w:val="24"/>
        </w:rPr>
        <w:t>注：</w:t>
      </w:r>
      <w:r w:rsidRPr="00BA016D">
        <w:rPr>
          <w:rFonts w:ascii="Arial" w:eastAsia="宋体" w:hAnsi="Arial" w:cs="Arial" w:hint="eastAsia"/>
          <w:b/>
          <w:szCs w:val="24"/>
        </w:rPr>
        <w:t>华商丰利增强定期开放债券型证券投资基金</w:t>
      </w:r>
      <w:r w:rsidRPr="00BA016D">
        <w:rPr>
          <w:rFonts w:ascii="Arial" w:eastAsia="宋体" w:hAnsi="Arial" w:cs="Arial" w:hint="eastAsia"/>
          <w:b/>
          <w:szCs w:val="24"/>
        </w:rPr>
        <w:t>A</w:t>
      </w:r>
      <w:r w:rsidRPr="00BA016D">
        <w:rPr>
          <w:rFonts w:ascii="Arial" w:eastAsia="宋体" w:hAnsi="Arial" w:cs="Arial" w:hint="eastAsia"/>
          <w:b/>
          <w:szCs w:val="24"/>
        </w:rPr>
        <w:t>、华商瑞鑫定期开放债券型证券投资基金</w:t>
      </w:r>
      <w:r w:rsidRPr="00340DAA">
        <w:rPr>
          <w:rFonts w:ascii="Arial" w:eastAsia="宋体" w:hAnsi="Arial" w:cs="Arial" w:hint="eastAsia"/>
          <w:b/>
          <w:szCs w:val="24"/>
        </w:rPr>
        <w:t>暂不开通定期定额投资业务。</w:t>
      </w:r>
    </w:p>
    <w:p w:rsidR="00234F69" w:rsidRPr="008D490E" w:rsidRDefault="00234F69" w:rsidP="00637473">
      <w:pPr>
        <w:spacing w:line="360" w:lineRule="auto"/>
        <w:rPr>
          <w:rFonts w:ascii="Arial" w:eastAsia="宋体" w:hAnsi="Arial" w:cs="Arial"/>
          <w:b/>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EE3082">
        <w:rPr>
          <w:rFonts w:ascii="Arial" w:eastAsia="宋体" w:hAnsi="Arial" w:cs="Arial"/>
          <w:sz w:val="24"/>
          <w:szCs w:val="24"/>
        </w:rPr>
        <w:t>华福证券</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637473">
        <w:rPr>
          <w:rFonts w:ascii="Arial" w:eastAsia="宋体" w:hAnsi="Arial" w:cs="Arial" w:hint="eastAsia"/>
          <w:sz w:val="24"/>
          <w:szCs w:val="24"/>
        </w:rPr>
        <w:t>，</w:t>
      </w:r>
      <w:r w:rsidR="00637473">
        <w:rPr>
          <w:rFonts w:ascii="Arial" w:eastAsia="宋体" w:hAnsi="Arial" w:cs="Arial"/>
          <w:sz w:val="24"/>
          <w:szCs w:val="24"/>
        </w:rPr>
        <w:t>具体折扣费率以</w:t>
      </w:r>
      <w:r w:rsidR="00EE3082">
        <w:rPr>
          <w:rFonts w:ascii="Arial" w:eastAsia="宋体" w:hAnsi="Arial" w:cs="Arial"/>
          <w:sz w:val="24"/>
          <w:szCs w:val="24"/>
        </w:rPr>
        <w:t>华福证券</w:t>
      </w:r>
      <w:r w:rsidR="00637473">
        <w:rPr>
          <w:rFonts w:ascii="Arial" w:eastAsia="宋体" w:hAnsi="Arial" w:cs="Arial"/>
          <w:sz w:val="24"/>
          <w:szCs w:val="24"/>
        </w:rPr>
        <w:t>的基金活动公告为准</w:t>
      </w:r>
      <w:r w:rsidR="00637473">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EE3082">
        <w:rPr>
          <w:rFonts w:ascii="Arial" w:eastAsia="宋体" w:hAnsi="Arial" w:cs="Arial"/>
          <w:sz w:val="24"/>
          <w:szCs w:val="24"/>
        </w:rPr>
        <w:t>华福证券</w:t>
      </w:r>
      <w:r>
        <w:rPr>
          <w:rFonts w:ascii="Arial" w:eastAsia="宋体" w:hAnsi="Arial" w:cs="Arial"/>
          <w:sz w:val="24"/>
          <w:szCs w:val="24"/>
        </w:rPr>
        <w:t>，费率优惠活动内容执行期间，调整适用基金范围、业务办理的相关规则及流程以</w:t>
      </w:r>
      <w:r w:rsidR="00EE3082">
        <w:rPr>
          <w:rFonts w:ascii="Arial" w:eastAsia="宋体" w:hAnsi="Arial" w:cs="Arial"/>
          <w:sz w:val="24"/>
          <w:szCs w:val="24"/>
        </w:rPr>
        <w:t>华福证券</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Pr="00B94CC4" w:rsidRDefault="00941380" w:rsidP="00B94CC4">
      <w:pPr>
        <w:spacing w:line="360" w:lineRule="auto"/>
        <w:ind w:firstLineChars="200" w:firstLine="480"/>
        <w:rPr>
          <w:rFonts w:ascii="Times New Roman" w:eastAsia="宋体" w:hAnsi="Times New Roman" w:cs="Times New Roman"/>
          <w:sz w:val="24"/>
          <w:szCs w:val="24"/>
        </w:rPr>
      </w:pPr>
      <w:r>
        <w:rPr>
          <w:rFonts w:ascii="Arial" w:eastAsia="宋体" w:hAnsi="Arial" w:cs="Arial"/>
          <w:sz w:val="24"/>
          <w:szCs w:val="24"/>
        </w:rPr>
        <w:t>费率优惠起始时间为</w:t>
      </w:r>
      <w:r w:rsidR="00EE3082">
        <w:rPr>
          <w:rFonts w:ascii="Arial" w:eastAsia="宋体" w:hAnsi="Arial" w:cs="Arial"/>
          <w:sz w:val="24"/>
          <w:szCs w:val="24"/>
        </w:rPr>
        <w:t>2024</w:t>
      </w:r>
      <w:r w:rsidR="00EE3082">
        <w:rPr>
          <w:rFonts w:ascii="Arial" w:eastAsia="宋体" w:hAnsi="Arial" w:cs="Arial"/>
          <w:sz w:val="24"/>
          <w:szCs w:val="24"/>
        </w:rPr>
        <w:t>年</w:t>
      </w:r>
      <w:r w:rsidR="00EE3082">
        <w:rPr>
          <w:rFonts w:ascii="Arial" w:eastAsia="宋体" w:hAnsi="Arial" w:cs="Arial"/>
          <w:sz w:val="24"/>
          <w:szCs w:val="24"/>
        </w:rPr>
        <w:t>3</w:t>
      </w:r>
      <w:r w:rsidR="00EE3082">
        <w:rPr>
          <w:rFonts w:ascii="Arial" w:eastAsia="宋体" w:hAnsi="Arial" w:cs="Arial"/>
          <w:sz w:val="24"/>
          <w:szCs w:val="24"/>
        </w:rPr>
        <w:t>月</w:t>
      </w:r>
      <w:r w:rsidR="00EE3082">
        <w:rPr>
          <w:rFonts w:ascii="Arial" w:eastAsia="宋体" w:hAnsi="Arial" w:cs="Arial"/>
          <w:sz w:val="24"/>
          <w:szCs w:val="24"/>
        </w:rPr>
        <w:t>20</w:t>
      </w:r>
      <w:r>
        <w:rPr>
          <w:rFonts w:ascii="Arial" w:eastAsia="宋体" w:hAnsi="Arial" w:cs="Arial"/>
          <w:sz w:val="24"/>
          <w:szCs w:val="24"/>
        </w:rPr>
        <w:t>日</w:t>
      </w:r>
      <w:r w:rsidR="006646F3">
        <w:rPr>
          <w:rFonts w:ascii="Arial" w:eastAsia="宋体" w:hAnsi="Arial" w:cs="Arial" w:hint="eastAsia"/>
          <w:sz w:val="24"/>
          <w:szCs w:val="24"/>
        </w:rPr>
        <w:t>，</w:t>
      </w:r>
      <w:r w:rsidR="006646F3">
        <w:rPr>
          <w:rFonts w:ascii="Times New Roman" w:eastAsia="宋体" w:hAnsi="Times New Roman" w:cs="Times New Roman" w:hint="eastAsia"/>
          <w:sz w:val="24"/>
          <w:szCs w:val="24"/>
        </w:rPr>
        <w:t>结束时间请以</w:t>
      </w:r>
      <w:r w:rsidR="00EE3082">
        <w:rPr>
          <w:rFonts w:ascii="Arial" w:eastAsia="宋体" w:hAnsi="Arial" w:cs="Arial"/>
          <w:sz w:val="24"/>
          <w:szCs w:val="24"/>
        </w:rPr>
        <w:t>华福证券</w:t>
      </w:r>
      <w:r w:rsidR="006646F3">
        <w:rPr>
          <w:rFonts w:ascii="Times New Roman" w:eastAsia="宋体" w:hAnsi="Times New Roman" w:cs="Times New Roman" w:hint="eastAsia"/>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EE3082">
        <w:rPr>
          <w:rFonts w:ascii="Arial" w:eastAsia="宋体" w:hAnsi="Arial" w:cs="Arial" w:hint="eastAsia"/>
          <w:sz w:val="24"/>
          <w:szCs w:val="24"/>
        </w:rPr>
        <w:t>华福证券</w:t>
      </w:r>
      <w:r>
        <w:rPr>
          <w:rFonts w:ascii="Arial" w:eastAsia="宋体" w:hAnsi="Arial" w:cs="Arial"/>
          <w:sz w:val="24"/>
          <w:szCs w:val="24"/>
        </w:rPr>
        <w:t>提交申请，约定每期扣款时间、扣款金额及扣款方式，由</w:t>
      </w:r>
      <w:r w:rsidR="00EE3082">
        <w:rPr>
          <w:rFonts w:ascii="Arial" w:eastAsia="宋体" w:hAnsi="Arial" w:cs="Arial"/>
          <w:sz w:val="24"/>
          <w:szCs w:val="24"/>
        </w:rPr>
        <w:t>华福证券</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EE3082">
        <w:rPr>
          <w:rFonts w:ascii="Arial" w:eastAsia="宋体" w:hAnsi="Arial" w:cs="Arial"/>
          <w:sz w:val="24"/>
          <w:szCs w:val="24"/>
        </w:rPr>
        <w:t>华福证券</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Pr="007575D9" w:rsidRDefault="00941380">
      <w:pPr>
        <w:pStyle w:val="a7"/>
        <w:snapToGrid w:val="0"/>
        <w:spacing w:before="0" w:beforeAutospacing="0" w:after="0" w:afterAutospacing="0" w:line="360" w:lineRule="auto"/>
        <w:ind w:leftChars="100" w:left="210" w:firstLineChars="100" w:firstLine="240"/>
        <w:jc w:val="both"/>
        <w:outlineLvl w:val="0"/>
        <w:rPr>
          <w:color w:val="000000"/>
        </w:rPr>
      </w:pPr>
      <w:r>
        <w:rPr>
          <w:rFonts w:ascii="Arial" w:hAnsi="Arial" w:cs="Arial"/>
        </w:rPr>
        <w:t>1</w:t>
      </w:r>
      <w:r>
        <w:rPr>
          <w:rFonts w:ascii="Arial" w:hAnsi="Arial" w:cs="Arial"/>
        </w:rPr>
        <w:t>、</w:t>
      </w:r>
      <w:r w:rsidR="00EE3082" w:rsidRPr="00EE3082">
        <w:rPr>
          <w:rFonts w:hint="eastAsia"/>
          <w:color w:val="000000"/>
        </w:rPr>
        <w:t>华福证券有限责任公司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客服电话</w:t>
      </w:r>
      <w:r w:rsidR="00B94CC4">
        <w:rPr>
          <w:rFonts w:ascii="Arial" w:hAnsi="Arial" w:cs="Arial" w:hint="eastAsia"/>
          <w:b/>
        </w:rPr>
        <w:t>：</w:t>
      </w:r>
      <w:r w:rsidR="00EE3082" w:rsidRPr="00EE3082">
        <w:rPr>
          <w:rFonts w:ascii="Arial" w:hAnsi="Arial" w:cs="Arial"/>
          <w:b/>
        </w:rPr>
        <w:t>95547</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B94CC4">
        <w:rPr>
          <w:rFonts w:ascii="Arial" w:hAnsi="Arial" w:cs="Arial" w:hint="eastAsia"/>
          <w:b/>
        </w:rPr>
        <w:t>：</w:t>
      </w:r>
      <w:r w:rsidR="00EE3082" w:rsidRPr="00EE3082">
        <w:rPr>
          <w:rFonts w:ascii="Arial" w:hAnsi="Arial" w:cs="Arial"/>
          <w:b/>
        </w:rPr>
        <w:t>www.hfzq.com.cn</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5E4B40" w:rsidRDefault="005E4B40" w:rsidP="005E4B4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rsidR="00A8411B" w:rsidRDefault="00A8411B" w:rsidP="005E4B40">
      <w:pPr>
        <w:autoSpaceDE w:val="0"/>
        <w:autoSpaceDN w:val="0"/>
        <w:adjustRightInd w:val="0"/>
        <w:spacing w:line="360" w:lineRule="auto"/>
        <w:ind w:firstLineChars="200" w:firstLine="480"/>
        <w:jc w:val="left"/>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A8411B" w:rsidRDefault="00A8411B" w:rsidP="005E4B40">
      <w:pPr>
        <w:autoSpaceDE w:val="0"/>
        <w:autoSpaceDN w:val="0"/>
        <w:adjustRightInd w:val="0"/>
        <w:spacing w:line="360" w:lineRule="auto"/>
        <w:ind w:firstLineChars="200" w:firstLine="480"/>
        <w:jc w:val="left"/>
        <w:outlineLvl w:val="0"/>
        <w:rPr>
          <w:rFonts w:ascii="Arial" w:eastAsia="宋体" w:hAnsi="Arial" w:cs="Arial"/>
          <w:sz w:val="24"/>
        </w:rPr>
      </w:pPr>
      <w:r w:rsidRPr="00E57846">
        <w:rPr>
          <w:rFonts w:hint="eastAsia"/>
          <w:sz w:val="24"/>
        </w:rPr>
        <w:t>如果投资者购买的产品以在基金合同中约定了基金份额最短持有期限，在最短持有期限内，将面临因不能赎回或卖出基金份额而出现的流动性约束。</w:t>
      </w:r>
    </w:p>
    <w:p w:rsidR="001F7491" w:rsidRDefault="00B94CC4" w:rsidP="001F74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w:t>
      </w:r>
      <w:r w:rsidRPr="006302FA">
        <w:rPr>
          <w:rFonts w:ascii="Times New Roman" w:eastAsia="宋体" w:hAnsi="Times New Roman" w:cs="Times New Roman" w:hint="eastAsia"/>
          <w:sz w:val="24"/>
          <w:szCs w:val="24"/>
        </w:rPr>
        <w:t>以定期开放方式运作</w:t>
      </w:r>
      <w:r>
        <w:rPr>
          <w:rFonts w:ascii="Times New Roman" w:eastAsia="宋体" w:hAnsi="Times New Roman" w:cs="Times New Roman" w:hint="eastAsia"/>
          <w:sz w:val="24"/>
          <w:szCs w:val="24"/>
        </w:rPr>
        <w:t>，在</w:t>
      </w:r>
      <w:r w:rsidRPr="006302FA">
        <w:rPr>
          <w:rFonts w:ascii="Times New Roman" w:eastAsia="宋体" w:hAnsi="Times New Roman" w:cs="Times New Roman" w:hint="eastAsia"/>
          <w:sz w:val="24"/>
          <w:szCs w:val="24"/>
        </w:rPr>
        <w:t>封闭期</w:t>
      </w:r>
      <w:r>
        <w:rPr>
          <w:rFonts w:ascii="Times New Roman" w:eastAsia="宋体" w:hAnsi="Times New Roman" w:cs="Times New Roman" w:hint="eastAsia"/>
          <w:sz w:val="24"/>
          <w:szCs w:val="24"/>
        </w:rPr>
        <w:t>内，将面临因不能赎回或卖出基金份额而出现的流动性约束</w:t>
      </w:r>
      <w:r w:rsidR="001F7491">
        <w:rPr>
          <w:rFonts w:ascii="Times New Roman" w:eastAsia="宋体" w:hAnsi="Times New Roman" w:cs="Times New Roman" w:hint="eastAsia"/>
          <w:sz w:val="24"/>
          <w:szCs w:val="24"/>
        </w:rPr>
        <w:t>。</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EE3082">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2024</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Pr>
          <w:rFonts w:ascii="Arial" w:eastAsia="宋体" w:hAnsi="Arial" w:cs="Arial"/>
          <w:sz w:val="24"/>
          <w:szCs w:val="24"/>
        </w:rPr>
        <w:t>20</w:t>
      </w:r>
      <w:r w:rsidR="00941380">
        <w:rPr>
          <w:rFonts w:ascii="Arial" w:eastAsia="宋体" w:hAnsi="Arial" w:cs="Arial"/>
          <w:sz w:val="24"/>
          <w:szCs w:val="24"/>
        </w:rPr>
        <w:t>日</w:t>
      </w:r>
    </w:p>
    <w:sectPr w:rsidR="00E53C93" w:rsidSect="00277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DB" w:rsidRDefault="008055DB"/>
  </w:endnote>
  <w:endnote w:type="continuationSeparator" w:id="0">
    <w:p w:rsidR="008055DB" w:rsidRDefault="008055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DB" w:rsidRDefault="008055DB"/>
  </w:footnote>
  <w:footnote w:type="continuationSeparator" w:id="0">
    <w:p w:rsidR="008055DB" w:rsidRDefault="008055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0AD5"/>
    <w:rsid w:val="0002100C"/>
    <w:rsid w:val="000210A0"/>
    <w:rsid w:val="0002504D"/>
    <w:rsid w:val="000254B0"/>
    <w:rsid w:val="00027B9C"/>
    <w:rsid w:val="000316DA"/>
    <w:rsid w:val="00032706"/>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2B55"/>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6C3E"/>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6D04"/>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0F67"/>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0E7"/>
    <w:rsid w:val="001A46DA"/>
    <w:rsid w:val="001A5197"/>
    <w:rsid w:val="001A528A"/>
    <w:rsid w:val="001A63D5"/>
    <w:rsid w:val="001A6B95"/>
    <w:rsid w:val="001A73C7"/>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491"/>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4F69"/>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77E26"/>
    <w:rsid w:val="00281F64"/>
    <w:rsid w:val="00282F6B"/>
    <w:rsid w:val="00283883"/>
    <w:rsid w:val="002861F4"/>
    <w:rsid w:val="00290B21"/>
    <w:rsid w:val="00290C05"/>
    <w:rsid w:val="002935C9"/>
    <w:rsid w:val="00294913"/>
    <w:rsid w:val="00295362"/>
    <w:rsid w:val="002A154B"/>
    <w:rsid w:val="002A2485"/>
    <w:rsid w:val="002A3B03"/>
    <w:rsid w:val="002A3EAD"/>
    <w:rsid w:val="002A6ED5"/>
    <w:rsid w:val="002A6FA3"/>
    <w:rsid w:val="002A7048"/>
    <w:rsid w:val="002A757A"/>
    <w:rsid w:val="002B1541"/>
    <w:rsid w:val="002B2FA6"/>
    <w:rsid w:val="002B36FC"/>
    <w:rsid w:val="002B3F14"/>
    <w:rsid w:val="002B42E2"/>
    <w:rsid w:val="002B475A"/>
    <w:rsid w:val="002B4908"/>
    <w:rsid w:val="002B4D3B"/>
    <w:rsid w:val="002B6184"/>
    <w:rsid w:val="002B629B"/>
    <w:rsid w:val="002B6383"/>
    <w:rsid w:val="002C3EEA"/>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29B"/>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3671"/>
    <w:rsid w:val="003373F7"/>
    <w:rsid w:val="00340150"/>
    <w:rsid w:val="00340DAA"/>
    <w:rsid w:val="00341F9B"/>
    <w:rsid w:val="00342DDE"/>
    <w:rsid w:val="0034528C"/>
    <w:rsid w:val="003513F0"/>
    <w:rsid w:val="003537D9"/>
    <w:rsid w:val="00355858"/>
    <w:rsid w:val="00356927"/>
    <w:rsid w:val="00356C2F"/>
    <w:rsid w:val="0035728E"/>
    <w:rsid w:val="00357F2B"/>
    <w:rsid w:val="0036053A"/>
    <w:rsid w:val="00363660"/>
    <w:rsid w:val="00364263"/>
    <w:rsid w:val="00364758"/>
    <w:rsid w:val="00365DA5"/>
    <w:rsid w:val="00366455"/>
    <w:rsid w:val="00367D45"/>
    <w:rsid w:val="0037010B"/>
    <w:rsid w:val="00374FCA"/>
    <w:rsid w:val="0038144C"/>
    <w:rsid w:val="0038162D"/>
    <w:rsid w:val="00381AEE"/>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9D2"/>
    <w:rsid w:val="00436A86"/>
    <w:rsid w:val="00437085"/>
    <w:rsid w:val="00437AB1"/>
    <w:rsid w:val="00437D41"/>
    <w:rsid w:val="00444669"/>
    <w:rsid w:val="004460F4"/>
    <w:rsid w:val="00447F74"/>
    <w:rsid w:val="004507CE"/>
    <w:rsid w:val="004511C9"/>
    <w:rsid w:val="0045229F"/>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0DC2"/>
    <w:rsid w:val="004E16E3"/>
    <w:rsid w:val="004E17E0"/>
    <w:rsid w:val="004E364C"/>
    <w:rsid w:val="004E5146"/>
    <w:rsid w:val="004E7AD6"/>
    <w:rsid w:val="004E7B3B"/>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3415"/>
    <w:rsid w:val="00544442"/>
    <w:rsid w:val="005468CC"/>
    <w:rsid w:val="00546AFF"/>
    <w:rsid w:val="00546BB0"/>
    <w:rsid w:val="00551B45"/>
    <w:rsid w:val="00551F3A"/>
    <w:rsid w:val="00552153"/>
    <w:rsid w:val="0055346D"/>
    <w:rsid w:val="00553FA2"/>
    <w:rsid w:val="0055595A"/>
    <w:rsid w:val="005562C4"/>
    <w:rsid w:val="00556406"/>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11C3"/>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64C0"/>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6DB"/>
    <w:rsid w:val="005E2F24"/>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1037"/>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473"/>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46F3"/>
    <w:rsid w:val="006667D6"/>
    <w:rsid w:val="00666FF4"/>
    <w:rsid w:val="0066754C"/>
    <w:rsid w:val="00677165"/>
    <w:rsid w:val="00677A04"/>
    <w:rsid w:val="00691755"/>
    <w:rsid w:val="00694311"/>
    <w:rsid w:val="00694469"/>
    <w:rsid w:val="00695AE7"/>
    <w:rsid w:val="00695CDA"/>
    <w:rsid w:val="00696CF6"/>
    <w:rsid w:val="00697609"/>
    <w:rsid w:val="006A1CDC"/>
    <w:rsid w:val="006A235B"/>
    <w:rsid w:val="006A50F6"/>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575D9"/>
    <w:rsid w:val="0076016A"/>
    <w:rsid w:val="0076479D"/>
    <w:rsid w:val="00764D2A"/>
    <w:rsid w:val="00765B1F"/>
    <w:rsid w:val="00765EAB"/>
    <w:rsid w:val="00766FD6"/>
    <w:rsid w:val="0076722D"/>
    <w:rsid w:val="0076734D"/>
    <w:rsid w:val="007700D4"/>
    <w:rsid w:val="0077054C"/>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95BAA"/>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69C"/>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55DB"/>
    <w:rsid w:val="00807158"/>
    <w:rsid w:val="008104DE"/>
    <w:rsid w:val="008105CB"/>
    <w:rsid w:val="008107AD"/>
    <w:rsid w:val="00813574"/>
    <w:rsid w:val="008144F2"/>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640EB"/>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3D7"/>
    <w:rsid w:val="008C55E9"/>
    <w:rsid w:val="008C599D"/>
    <w:rsid w:val="008C636F"/>
    <w:rsid w:val="008D046E"/>
    <w:rsid w:val="008D0EF8"/>
    <w:rsid w:val="008D3A53"/>
    <w:rsid w:val="008D4819"/>
    <w:rsid w:val="008D490E"/>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1B5F"/>
    <w:rsid w:val="0091230B"/>
    <w:rsid w:val="00912332"/>
    <w:rsid w:val="00912EB7"/>
    <w:rsid w:val="009141C5"/>
    <w:rsid w:val="0091758C"/>
    <w:rsid w:val="009214D5"/>
    <w:rsid w:val="0092249E"/>
    <w:rsid w:val="00922FB7"/>
    <w:rsid w:val="00926552"/>
    <w:rsid w:val="00930F1A"/>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111"/>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5DFC"/>
    <w:rsid w:val="00A1629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0DF6"/>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411B"/>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43AD"/>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0917"/>
    <w:rsid w:val="00B12C54"/>
    <w:rsid w:val="00B13054"/>
    <w:rsid w:val="00B132FF"/>
    <w:rsid w:val="00B149A9"/>
    <w:rsid w:val="00B14D40"/>
    <w:rsid w:val="00B2145B"/>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94CC4"/>
    <w:rsid w:val="00BA000F"/>
    <w:rsid w:val="00BA055F"/>
    <w:rsid w:val="00BA10FF"/>
    <w:rsid w:val="00BA303B"/>
    <w:rsid w:val="00BA383C"/>
    <w:rsid w:val="00BA4BCD"/>
    <w:rsid w:val="00BA4F09"/>
    <w:rsid w:val="00BB01CD"/>
    <w:rsid w:val="00BB11E1"/>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2C63"/>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0B38"/>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2789"/>
    <w:rsid w:val="00C75E54"/>
    <w:rsid w:val="00C76588"/>
    <w:rsid w:val="00C767E4"/>
    <w:rsid w:val="00C76A70"/>
    <w:rsid w:val="00C76DC9"/>
    <w:rsid w:val="00C771E4"/>
    <w:rsid w:val="00C8102C"/>
    <w:rsid w:val="00C82DD7"/>
    <w:rsid w:val="00C8379F"/>
    <w:rsid w:val="00C83AF3"/>
    <w:rsid w:val="00C85123"/>
    <w:rsid w:val="00C85AB8"/>
    <w:rsid w:val="00C85D53"/>
    <w:rsid w:val="00C8740F"/>
    <w:rsid w:val="00C90DA5"/>
    <w:rsid w:val="00C91118"/>
    <w:rsid w:val="00C912E0"/>
    <w:rsid w:val="00C91B5E"/>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1BBC"/>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3AC"/>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5C10"/>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0CE"/>
    <w:rsid w:val="00D765D7"/>
    <w:rsid w:val="00D81B14"/>
    <w:rsid w:val="00D8203E"/>
    <w:rsid w:val="00D82F1A"/>
    <w:rsid w:val="00D83D76"/>
    <w:rsid w:val="00D84362"/>
    <w:rsid w:val="00D84EAE"/>
    <w:rsid w:val="00D8744F"/>
    <w:rsid w:val="00D8746D"/>
    <w:rsid w:val="00D928B6"/>
    <w:rsid w:val="00D93325"/>
    <w:rsid w:val="00D93332"/>
    <w:rsid w:val="00D9394B"/>
    <w:rsid w:val="00D9421A"/>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077"/>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424"/>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07F9"/>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3082"/>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1E0D"/>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615"/>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394C"/>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26"/>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277E2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77E26"/>
    <w:pPr>
      <w:jc w:val="left"/>
    </w:pPr>
  </w:style>
  <w:style w:type="paragraph" w:styleId="a4">
    <w:name w:val="Balloon Text"/>
    <w:basedOn w:val="a"/>
    <w:link w:val="Char0"/>
    <w:uiPriority w:val="99"/>
    <w:semiHidden/>
    <w:unhideWhenUsed/>
    <w:qFormat/>
    <w:rsid w:val="00277E26"/>
    <w:rPr>
      <w:sz w:val="18"/>
      <w:szCs w:val="18"/>
    </w:rPr>
  </w:style>
  <w:style w:type="paragraph" w:styleId="a5">
    <w:name w:val="footer"/>
    <w:basedOn w:val="a"/>
    <w:link w:val="Char1"/>
    <w:uiPriority w:val="99"/>
    <w:unhideWhenUsed/>
    <w:qFormat/>
    <w:rsid w:val="00277E2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77E26"/>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277E2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277E26"/>
    <w:rPr>
      <w:b/>
      <w:bCs/>
    </w:rPr>
  </w:style>
  <w:style w:type="table" w:styleId="a9">
    <w:name w:val="Table Grid"/>
    <w:basedOn w:val="a1"/>
    <w:uiPriority w:val="59"/>
    <w:qFormat/>
    <w:rsid w:val="00277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77E26"/>
    <w:rPr>
      <w:b/>
      <w:bCs/>
    </w:rPr>
  </w:style>
  <w:style w:type="character" w:styleId="ab">
    <w:name w:val="Hyperlink"/>
    <w:basedOn w:val="a0"/>
    <w:unhideWhenUsed/>
    <w:qFormat/>
    <w:rsid w:val="00277E26"/>
    <w:rPr>
      <w:color w:val="0000FF"/>
      <w:u w:val="single"/>
    </w:rPr>
  </w:style>
  <w:style w:type="character" w:styleId="ac">
    <w:name w:val="annotation reference"/>
    <w:basedOn w:val="a0"/>
    <w:uiPriority w:val="99"/>
    <w:semiHidden/>
    <w:unhideWhenUsed/>
    <w:qFormat/>
    <w:rsid w:val="00277E26"/>
    <w:rPr>
      <w:sz w:val="21"/>
      <w:szCs w:val="21"/>
    </w:rPr>
  </w:style>
  <w:style w:type="character" w:customStyle="1" w:styleId="Char2">
    <w:name w:val="页眉 Char"/>
    <w:basedOn w:val="a0"/>
    <w:link w:val="a6"/>
    <w:uiPriority w:val="99"/>
    <w:qFormat/>
    <w:rsid w:val="00277E26"/>
    <w:rPr>
      <w:sz w:val="18"/>
      <w:szCs w:val="18"/>
    </w:rPr>
  </w:style>
  <w:style w:type="character" w:customStyle="1" w:styleId="Char1">
    <w:name w:val="页脚 Char"/>
    <w:basedOn w:val="a0"/>
    <w:link w:val="a5"/>
    <w:uiPriority w:val="99"/>
    <w:qFormat/>
    <w:rsid w:val="00277E26"/>
    <w:rPr>
      <w:sz w:val="18"/>
      <w:szCs w:val="18"/>
    </w:rPr>
  </w:style>
  <w:style w:type="paragraph" w:styleId="ad">
    <w:name w:val="List Paragraph"/>
    <w:basedOn w:val="a"/>
    <w:uiPriority w:val="34"/>
    <w:qFormat/>
    <w:rsid w:val="00277E26"/>
    <w:pPr>
      <w:ind w:firstLineChars="200" w:firstLine="420"/>
    </w:pPr>
  </w:style>
  <w:style w:type="character" w:customStyle="1" w:styleId="2Char">
    <w:name w:val="标题 2 Char"/>
    <w:basedOn w:val="a0"/>
    <w:link w:val="2"/>
    <w:uiPriority w:val="9"/>
    <w:qFormat/>
    <w:rsid w:val="00277E26"/>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277E26"/>
    <w:rPr>
      <w:sz w:val="18"/>
      <w:szCs w:val="18"/>
    </w:rPr>
  </w:style>
  <w:style w:type="character" w:customStyle="1" w:styleId="Char">
    <w:name w:val="批注文字 Char"/>
    <w:basedOn w:val="a0"/>
    <w:link w:val="a3"/>
    <w:uiPriority w:val="99"/>
    <w:semiHidden/>
    <w:qFormat/>
    <w:rsid w:val="00277E26"/>
  </w:style>
  <w:style w:type="character" w:customStyle="1" w:styleId="Char3">
    <w:name w:val="批注主题 Char"/>
    <w:basedOn w:val="Char"/>
    <w:link w:val="a8"/>
    <w:uiPriority w:val="99"/>
    <w:semiHidden/>
    <w:qFormat/>
    <w:rsid w:val="00277E26"/>
    <w:rPr>
      <w:b/>
      <w:bCs/>
    </w:rPr>
  </w:style>
  <w:style w:type="paragraph" w:customStyle="1" w:styleId="1">
    <w:name w:val="修订1"/>
    <w:hidden/>
    <w:uiPriority w:val="99"/>
    <w:semiHidden/>
    <w:qFormat/>
    <w:rsid w:val="00277E26"/>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277E26"/>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277E26"/>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277E26"/>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277E26"/>
    <w:rPr>
      <w:rFonts w:asciiTheme="minorHAnsi" w:eastAsiaTheme="minorEastAsia" w:hAnsiTheme="minorHAnsi" w:cstheme="minorBidi"/>
      <w:kern w:val="2"/>
      <w:sz w:val="21"/>
      <w:szCs w:val="22"/>
    </w:rPr>
  </w:style>
  <w:style w:type="character" w:customStyle="1" w:styleId="font41">
    <w:name w:val="font41"/>
    <w:basedOn w:val="a0"/>
    <w:qFormat/>
    <w:rsid w:val="00277E26"/>
    <w:rPr>
      <w:rFonts w:ascii="Arial" w:hAnsi="Arial" w:cs="Arial" w:hint="default"/>
      <w:color w:val="000000"/>
      <w:sz w:val="20"/>
      <w:szCs w:val="20"/>
      <w:u w:val="none"/>
    </w:rPr>
  </w:style>
  <w:style w:type="paragraph" w:styleId="ae">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5736755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375080968">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05891976">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651904688">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130782795">
      <w:bodyDiv w:val="1"/>
      <w:marLeft w:val="0"/>
      <w:marRight w:val="0"/>
      <w:marTop w:val="0"/>
      <w:marBottom w:val="0"/>
      <w:divBdr>
        <w:top w:val="none" w:sz="0" w:space="0" w:color="auto"/>
        <w:left w:val="none" w:sz="0" w:space="0" w:color="auto"/>
        <w:bottom w:val="none" w:sz="0" w:space="0" w:color="auto"/>
        <w:right w:val="none" w:sz="0" w:space="0" w:color="auto"/>
      </w:divBdr>
    </w:div>
    <w:div w:id="1155797517">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3059-0F42-4C41-853C-2E71A30B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2494</Characters>
  <Application>Microsoft Office Word</Application>
  <DocSecurity>4</DocSecurity>
  <Lines>20</Lines>
  <Paragraphs>5</Paragraphs>
  <ScaleCrop>false</ScaleCrop>
  <Company>Microsoft</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2023-05-22T08:08:00Z</cp:lastPrinted>
  <dcterms:created xsi:type="dcterms:W3CDTF">2024-03-19T16:01:00Z</dcterms:created>
  <dcterms:modified xsi:type="dcterms:W3CDTF">2024-03-19T16:01:00Z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