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F0" w:rsidRDefault="00760E58">
      <w:pPr>
        <w:widowControl/>
        <w:spacing w:line="360" w:lineRule="auto"/>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申万菱信安泰广利</w:t>
      </w:r>
      <w:r>
        <w:rPr>
          <w:rFonts w:asciiTheme="minorEastAsia" w:eastAsiaTheme="minorEastAsia" w:hAnsiTheme="minorEastAsia" w:cs="宋体" w:hint="eastAsia"/>
          <w:b/>
          <w:kern w:val="0"/>
          <w:sz w:val="30"/>
          <w:szCs w:val="30"/>
        </w:rPr>
        <w:t>63</w:t>
      </w:r>
      <w:r>
        <w:rPr>
          <w:rFonts w:asciiTheme="minorEastAsia" w:eastAsiaTheme="minorEastAsia" w:hAnsiTheme="minorEastAsia" w:cs="宋体" w:hint="eastAsia"/>
          <w:b/>
          <w:kern w:val="0"/>
          <w:sz w:val="30"/>
          <w:szCs w:val="30"/>
        </w:rPr>
        <w:t>个月定期开放债券型证券投资基金分红公告</w:t>
      </w:r>
    </w:p>
    <w:p w:rsidR="000278F0" w:rsidRDefault="00760E5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2024</w:t>
      </w:r>
      <w:r>
        <w:rPr>
          <w:rFonts w:asciiTheme="minorEastAsia" w:eastAsiaTheme="minorEastAsia" w:hAnsiTheme="minorEastAsia" w:cs="宋体"/>
          <w:bCs/>
          <w:sz w:val="24"/>
          <w:szCs w:val="24"/>
        </w:rPr>
        <w:t>年</w:t>
      </w:r>
      <w:r>
        <w:rPr>
          <w:rFonts w:asciiTheme="minorEastAsia" w:eastAsiaTheme="minorEastAsia" w:hAnsiTheme="minorEastAsia" w:cs="宋体"/>
          <w:bCs/>
          <w:sz w:val="24"/>
          <w:szCs w:val="24"/>
        </w:rPr>
        <w:t>3</w:t>
      </w:r>
      <w:r>
        <w:rPr>
          <w:rFonts w:asciiTheme="minorEastAsia" w:eastAsiaTheme="minorEastAsia" w:hAnsiTheme="minorEastAsia" w:cs="宋体"/>
          <w:bCs/>
          <w:sz w:val="24"/>
          <w:szCs w:val="24"/>
        </w:rPr>
        <w:t>月</w:t>
      </w:r>
      <w:r>
        <w:rPr>
          <w:rFonts w:asciiTheme="minorEastAsia" w:eastAsiaTheme="minorEastAsia" w:hAnsiTheme="minorEastAsia" w:cs="宋体"/>
          <w:bCs/>
          <w:sz w:val="24"/>
          <w:szCs w:val="24"/>
        </w:rPr>
        <w:t>20</w:t>
      </w:r>
      <w:r>
        <w:rPr>
          <w:rFonts w:asciiTheme="minorEastAsia" w:eastAsiaTheme="minorEastAsia" w:hAnsiTheme="minorEastAsia" w:cs="宋体"/>
          <w:bCs/>
          <w:sz w:val="24"/>
          <w:szCs w:val="24"/>
        </w:rPr>
        <w:t>日</w:t>
      </w:r>
    </w:p>
    <w:p w:rsidR="000278F0" w:rsidRDefault="00760E58">
      <w:pPr>
        <w:pStyle w:val="2"/>
        <w:spacing w:line="360" w:lineRule="auto"/>
        <w:rPr>
          <w:rFonts w:asciiTheme="minorEastAsia" w:eastAsiaTheme="minorEastAsia" w:hAnsiTheme="minorEastAsia"/>
          <w:bCs w:val="0"/>
          <w:color w:val="000000"/>
          <w:sz w:val="24"/>
          <w:szCs w:val="24"/>
        </w:rPr>
      </w:pPr>
      <w:bookmarkStart w:id="0" w:name="_Toc275961418"/>
      <w:r>
        <w:rPr>
          <w:rFonts w:asciiTheme="minorEastAsia" w:eastAsiaTheme="minorEastAsia" w:hAnsiTheme="minorEastAsia"/>
          <w:bCs w:val="0"/>
          <w:color w:val="000000"/>
          <w:sz w:val="24"/>
          <w:szCs w:val="24"/>
        </w:rPr>
        <w:t xml:space="preserve">1 </w:t>
      </w:r>
      <w:r>
        <w:rPr>
          <w:rFonts w:asciiTheme="minorEastAsia" w:eastAsiaTheme="minorEastAsia" w:hAnsiTheme="minorEastAsia"/>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1565"/>
        <w:gridCol w:w="4861"/>
      </w:tblGrid>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基金名称</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申万菱信安泰广利</w:t>
            </w:r>
            <w:r>
              <w:rPr>
                <w:rFonts w:asciiTheme="minorEastAsia" w:eastAsiaTheme="minorEastAsia" w:hAnsiTheme="minorEastAsia"/>
                <w:sz w:val="24"/>
                <w:szCs w:val="24"/>
              </w:rPr>
              <w:t>63</w:t>
            </w:r>
            <w:r>
              <w:rPr>
                <w:rFonts w:asciiTheme="minorEastAsia" w:eastAsiaTheme="minorEastAsia" w:hAnsiTheme="minorEastAsia"/>
                <w:sz w:val="24"/>
                <w:szCs w:val="24"/>
              </w:rPr>
              <w:t>个月定期开放债券型证券投资基金</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基金简称</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申万菱信安泰广利</w:t>
            </w:r>
            <w:r>
              <w:rPr>
                <w:rFonts w:asciiTheme="minorEastAsia" w:eastAsiaTheme="minorEastAsia" w:hAnsiTheme="minorEastAsia"/>
                <w:sz w:val="24"/>
                <w:szCs w:val="24"/>
              </w:rPr>
              <w:t>63</w:t>
            </w:r>
            <w:r>
              <w:rPr>
                <w:rFonts w:asciiTheme="minorEastAsia" w:eastAsiaTheme="minorEastAsia" w:hAnsiTheme="minorEastAsia"/>
                <w:sz w:val="24"/>
                <w:szCs w:val="24"/>
              </w:rPr>
              <w:t>个月定期开放债券</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008028</w:t>
            </w:r>
          </w:p>
        </w:tc>
      </w:tr>
      <w:tr w:rsidR="000278F0">
        <w:trPr>
          <w:jc w:val="center"/>
        </w:trPr>
        <w:tc>
          <w:tcPr>
            <w:tcW w:w="4778" w:type="dxa"/>
            <w:gridSpan w:val="2"/>
            <w:vAlign w:val="center"/>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基金合同生效日</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2020</w:t>
            </w:r>
            <w:r>
              <w:rPr>
                <w:rFonts w:asciiTheme="minorEastAsia" w:eastAsiaTheme="minorEastAsia" w:hAnsiTheme="minorEastAsia"/>
                <w:sz w:val="24"/>
                <w:szCs w:val="24"/>
              </w:rPr>
              <w:t>年</w:t>
            </w:r>
            <w:r>
              <w:rPr>
                <w:rFonts w:asciiTheme="minorEastAsia" w:eastAsiaTheme="minorEastAsia" w:hAnsiTheme="minorEastAsia"/>
                <w:sz w:val="24"/>
                <w:szCs w:val="24"/>
              </w:rPr>
              <w:t>10</w:t>
            </w:r>
            <w:r>
              <w:rPr>
                <w:rFonts w:asciiTheme="minorEastAsia" w:eastAsiaTheme="minorEastAsia" w:hAnsiTheme="minorEastAsia"/>
                <w:sz w:val="24"/>
                <w:szCs w:val="24"/>
              </w:rPr>
              <w:t>月</w:t>
            </w:r>
            <w:r>
              <w:rPr>
                <w:rFonts w:asciiTheme="minorEastAsia" w:eastAsiaTheme="minorEastAsia" w:hAnsiTheme="minorEastAsia"/>
                <w:sz w:val="24"/>
                <w:szCs w:val="24"/>
              </w:rPr>
              <w:t>21</w:t>
            </w:r>
            <w:r>
              <w:rPr>
                <w:rFonts w:asciiTheme="minorEastAsia" w:eastAsiaTheme="minorEastAsia" w:hAnsiTheme="minorEastAsia"/>
                <w:sz w:val="24"/>
                <w:szCs w:val="24"/>
              </w:rPr>
              <w:t>日</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基金管理人名称</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申万菱信基金管理有限公司</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基金托管人名称</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上海浦东发展银行股份有限公司</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公告依据</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《公开募集证券投资基金信息披露管理办法》《申万菱信安泰广利</w:t>
            </w:r>
            <w:r>
              <w:rPr>
                <w:rFonts w:asciiTheme="minorEastAsia" w:eastAsiaTheme="minorEastAsia" w:hAnsiTheme="minorEastAsia"/>
                <w:sz w:val="24"/>
                <w:szCs w:val="24"/>
              </w:rPr>
              <w:t>63</w:t>
            </w:r>
            <w:r>
              <w:rPr>
                <w:rFonts w:asciiTheme="minorEastAsia" w:eastAsiaTheme="minorEastAsia" w:hAnsiTheme="minorEastAsia"/>
                <w:sz w:val="24"/>
                <w:szCs w:val="24"/>
              </w:rPr>
              <w:t>个月定期开放债券型证券投资基金基金合同》</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收益分配基准日</w:t>
            </w:r>
          </w:p>
        </w:tc>
        <w:tc>
          <w:tcPr>
            <w:tcW w:w="4861"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15</w:t>
            </w:r>
            <w:r>
              <w:rPr>
                <w:rFonts w:asciiTheme="minorEastAsia" w:eastAsiaTheme="minorEastAsia" w:hAnsiTheme="minorEastAsia"/>
                <w:sz w:val="24"/>
                <w:szCs w:val="24"/>
              </w:rPr>
              <w:t>日</w:t>
            </w:r>
          </w:p>
        </w:tc>
      </w:tr>
      <w:tr w:rsidR="000278F0">
        <w:trPr>
          <w:jc w:val="center"/>
        </w:trPr>
        <w:tc>
          <w:tcPr>
            <w:tcW w:w="3213" w:type="dxa"/>
            <w:vMerge w:val="restart"/>
            <w:vAlign w:val="center"/>
          </w:tcPr>
          <w:p w:rsidR="000278F0" w:rsidRDefault="00760E58">
            <w:pPr>
              <w:spacing w:line="360" w:lineRule="auto"/>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截止收益分配基准日的相关指标</w:t>
            </w:r>
          </w:p>
        </w:tc>
        <w:tc>
          <w:tcPr>
            <w:tcW w:w="156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基准日基金份额净值</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4861"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1.0536</w:t>
            </w:r>
            <w:bookmarkStart w:id="1" w:name="_GoBack"/>
            <w:bookmarkEnd w:id="1"/>
          </w:p>
        </w:tc>
      </w:tr>
      <w:tr w:rsidR="000278F0">
        <w:trPr>
          <w:jc w:val="center"/>
        </w:trPr>
        <w:tc>
          <w:tcPr>
            <w:tcW w:w="3213" w:type="dxa"/>
            <w:vMerge/>
          </w:tcPr>
          <w:p w:rsidR="000278F0" w:rsidRDefault="000278F0">
            <w:pPr>
              <w:spacing w:line="360" w:lineRule="auto"/>
              <w:rPr>
                <w:rFonts w:asciiTheme="minorEastAsia" w:eastAsiaTheme="minorEastAsia" w:hAnsiTheme="minorEastAsia"/>
                <w:color w:val="000000"/>
                <w:sz w:val="24"/>
                <w:szCs w:val="24"/>
              </w:rPr>
            </w:pPr>
          </w:p>
        </w:tc>
        <w:tc>
          <w:tcPr>
            <w:tcW w:w="156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基准日基金可供分配利润</w:t>
            </w:r>
            <w:r>
              <w:rPr>
                <w:rFonts w:asciiTheme="minorEastAsia" w:eastAsiaTheme="minorEastAsia" w:hAnsiTheme="minorEastAsia" w:hint="eastAsia"/>
                <w:sz w:val="24"/>
                <w:szCs w:val="24"/>
              </w:rPr>
              <w:t>（单位：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hint="eastAsia"/>
                <w:sz w:val="24"/>
                <w:szCs w:val="24"/>
              </w:rPr>
              <w:t>）</w:t>
            </w:r>
          </w:p>
        </w:tc>
        <w:tc>
          <w:tcPr>
            <w:tcW w:w="4861"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428,042,330.58</w:t>
            </w:r>
          </w:p>
        </w:tc>
      </w:tr>
      <w:tr w:rsidR="000278F0">
        <w:trPr>
          <w:jc w:val="center"/>
        </w:trPr>
        <w:tc>
          <w:tcPr>
            <w:tcW w:w="4778" w:type="dxa"/>
            <w:gridSpan w:val="2"/>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本次分红方案（单位：元</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rPr>
              <w:t>份基金份额）</w:t>
            </w:r>
          </w:p>
        </w:tc>
        <w:tc>
          <w:tcPr>
            <w:tcW w:w="4861"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0.1000</w:t>
            </w:r>
          </w:p>
        </w:tc>
      </w:tr>
      <w:tr w:rsidR="000278F0">
        <w:trPr>
          <w:jc w:val="center"/>
        </w:trPr>
        <w:tc>
          <w:tcPr>
            <w:tcW w:w="4778" w:type="dxa"/>
            <w:gridSpan w:val="2"/>
            <w:vAlign w:val="center"/>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有关年度分红次数的说明</w:t>
            </w:r>
          </w:p>
        </w:tc>
        <w:tc>
          <w:tcPr>
            <w:tcW w:w="4861" w:type="dxa"/>
            <w:vAlign w:val="center"/>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本次分红为</w:t>
            </w:r>
            <w:r>
              <w:rPr>
                <w:rFonts w:asciiTheme="minorEastAsia" w:eastAsiaTheme="minorEastAsia" w:hAnsiTheme="minorEastAsia"/>
                <w:sz w:val="24"/>
                <w:szCs w:val="24"/>
              </w:rPr>
              <w:t>2024</w:t>
            </w:r>
            <w:r>
              <w:rPr>
                <w:rFonts w:asciiTheme="minorEastAsia" w:eastAsiaTheme="minorEastAsia" w:hAnsiTheme="minorEastAsia"/>
                <w:sz w:val="24"/>
                <w:szCs w:val="24"/>
              </w:rPr>
              <w:t>年第</w:t>
            </w:r>
            <w:r>
              <w:rPr>
                <w:rFonts w:asciiTheme="minorEastAsia" w:eastAsiaTheme="minorEastAsia" w:hAnsiTheme="minorEastAsia"/>
                <w:sz w:val="24"/>
                <w:szCs w:val="24"/>
              </w:rPr>
              <w:t>1</w:t>
            </w:r>
            <w:r>
              <w:rPr>
                <w:rFonts w:asciiTheme="minorEastAsia" w:eastAsiaTheme="minorEastAsia" w:hAnsiTheme="minorEastAsia"/>
                <w:sz w:val="24"/>
                <w:szCs w:val="24"/>
              </w:rPr>
              <w:t>次分红。</w:t>
            </w:r>
          </w:p>
        </w:tc>
      </w:tr>
    </w:tbl>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w:t>
      </w:r>
      <w:r>
        <w:rPr>
          <w:rFonts w:asciiTheme="minorEastAsia" w:eastAsiaTheme="minorEastAsia" w:hAnsiTheme="minorEastAsia"/>
          <w:sz w:val="24"/>
          <w:szCs w:val="24"/>
        </w:rPr>
        <w:t>1</w:t>
      </w:r>
      <w:r>
        <w:rPr>
          <w:rFonts w:asciiTheme="minorEastAsia" w:eastAsiaTheme="minorEastAsia" w:hAnsiTheme="minorEastAsia"/>
          <w:sz w:val="24"/>
          <w:szCs w:val="24"/>
        </w:rPr>
        <w:t>、申万菱信安泰广利</w:t>
      </w:r>
      <w:r>
        <w:rPr>
          <w:rFonts w:asciiTheme="minorEastAsia" w:eastAsiaTheme="minorEastAsia" w:hAnsiTheme="minorEastAsia"/>
          <w:sz w:val="24"/>
          <w:szCs w:val="24"/>
        </w:rPr>
        <w:t>63</w:t>
      </w:r>
      <w:r>
        <w:rPr>
          <w:rFonts w:asciiTheme="minorEastAsia" w:eastAsiaTheme="minorEastAsia" w:hAnsiTheme="minorEastAsia"/>
          <w:sz w:val="24"/>
          <w:szCs w:val="24"/>
        </w:rPr>
        <w:t>个月定期开放债券型证券投资基金以下简称</w:t>
      </w:r>
      <w:r>
        <w:rPr>
          <w:rFonts w:asciiTheme="minorEastAsia" w:eastAsiaTheme="minorEastAsia" w:hAnsiTheme="minorEastAsia"/>
          <w:sz w:val="24"/>
          <w:szCs w:val="24"/>
        </w:rPr>
        <w:t>“</w:t>
      </w:r>
      <w:r>
        <w:rPr>
          <w:rFonts w:asciiTheme="minorEastAsia" w:eastAsiaTheme="minorEastAsia" w:hAnsiTheme="minorEastAsia"/>
          <w:sz w:val="24"/>
          <w:szCs w:val="24"/>
        </w:rPr>
        <w:t>本基金</w:t>
      </w:r>
      <w:r>
        <w:rPr>
          <w:rFonts w:asciiTheme="minorEastAsia" w:eastAsiaTheme="minorEastAsia" w:hAnsiTheme="minorEastAsia"/>
          <w:sz w:val="24"/>
          <w:szCs w:val="24"/>
        </w:rPr>
        <w:t>”</w:t>
      </w:r>
      <w:r>
        <w:rPr>
          <w:rFonts w:asciiTheme="minorEastAsia" w:eastAsiaTheme="minorEastAsia" w:hAnsiTheme="minorEastAsia"/>
          <w:sz w:val="24"/>
          <w:szCs w:val="24"/>
        </w:rPr>
        <w:t>。</w:t>
      </w:r>
    </w:p>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、申万菱信基金管理有限公司以下简称</w:t>
      </w:r>
      <w:r>
        <w:rPr>
          <w:rFonts w:asciiTheme="minorEastAsia" w:eastAsiaTheme="minorEastAsia" w:hAnsiTheme="minorEastAsia"/>
          <w:sz w:val="24"/>
          <w:szCs w:val="24"/>
        </w:rPr>
        <w:t>“</w:t>
      </w:r>
      <w:r>
        <w:rPr>
          <w:rFonts w:asciiTheme="minorEastAsia" w:eastAsiaTheme="minorEastAsia" w:hAnsiTheme="minorEastAsia"/>
          <w:sz w:val="24"/>
          <w:szCs w:val="24"/>
        </w:rPr>
        <w:t>本公司</w:t>
      </w:r>
      <w:r>
        <w:rPr>
          <w:rFonts w:asciiTheme="minorEastAsia" w:eastAsiaTheme="minorEastAsia" w:hAnsiTheme="minorEastAsia"/>
          <w:sz w:val="24"/>
          <w:szCs w:val="24"/>
        </w:rPr>
        <w:t>”</w:t>
      </w:r>
      <w:r>
        <w:rPr>
          <w:rFonts w:asciiTheme="minorEastAsia" w:eastAsiaTheme="minorEastAsia" w:hAnsiTheme="minorEastAsia"/>
          <w:sz w:val="24"/>
          <w:szCs w:val="24"/>
        </w:rPr>
        <w:t>或</w:t>
      </w:r>
      <w:r>
        <w:rPr>
          <w:rFonts w:asciiTheme="minorEastAsia" w:eastAsiaTheme="minorEastAsia" w:hAnsiTheme="minorEastAsia"/>
          <w:sz w:val="24"/>
          <w:szCs w:val="24"/>
        </w:rPr>
        <w:t>“</w:t>
      </w:r>
      <w:r>
        <w:rPr>
          <w:rFonts w:asciiTheme="minorEastAsia" w:eastAsiaTheme="minorEastAsia" w:hAnsiTheme="minorEastAsia"/>
          <w:sz w:val="24"/>
          <w:szCs w:val="24"/>
        </w:rPr>
        <w:t>本基金管理人</w:t>
      </w:r>
      <w:r>
        <w:rPr>
          <w:rFonts w:asciiTheme="minorEastAsia" w:eastAsiaTheme="minorEastAsia" w:hAnsiTheme="minorEastAsia"/>
          <w:sz w:val="24"/>
          <w:szCs w:val="24"/>
        </w:rPr>
        <w:t>”</w:t>
      </w:r>
      <w:r>
        <w:rPr>
          <w:rFonts w:asciiTheme="minorEastAsia" w:eastAsiaTheme="minorEastAsia" w:hAnsiTheme="minorEastAsia"/>
          <w:sz w:val="24"/>
          <w:szCs w:val="24"/>
        </w:rPr>
        <w:t>。</w:t>
      </w:r>
    </w:p>
    <w:p w:rsidR="000278F0" w:rsidRDefault="00760E58">
      <w:pPr>
        <w:pStyle w:val="2"/>
        <w:spacing w:line="360" w:lineRule="auto"/>
        <w:rPr>
          <w:rFonts w:asciiTheme="minorEastAsia" w:eastAsiaTheme="minorEastAsia" w:hAnsiTheme="minorEastAsia"/>
          <w:bCs w:val="0"/>
          <w:color w:val="000000"/>
          <w:sz w:val="24"/>
          <w:szCs w:val="24"/>
        </w:rPr>
      </w:pPr>
      <w:bookmarkStart w:id="2" w:name="_Toc275961419"/>
      <w:r>
        <w:rPr>
          <w:rFonts w:asciiTheme="minorEastAsia" w:eastAsiaTheme="minorEastAsia" w:hAnsiTheme="minorEastAsia"/>
          <w:bCs w:val="0"/>
          <w:color w:val="000000"/>
          <w:sz w:val="24"/>
          <w:szCs w:val="24"/>
        </w:rPr>
        <w:lastRenderedPageBreak/>
        <w:t xml:space="preserve">2 </w:t>
      </w:r>
      <w:r>
        <w:rPr>
          <w:rFonts w:asciiTheme="minorEastAsia" w:eastAsiaTheme="minorEastAsia" w:hAnsiTheme="minorEastAsia"/>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4"/>
        <w:gridCol w:w="6405"/>
      </w:tblGrid>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权益登记日</w:t>
            </w:r>
          </w:p>
        </w:tc>
        <w:tc>
          <w:tcPr>
            <w:tcW w:w="4355"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21</w:t>
            </w:r>
            <w:r>
              <w:rPr>
                <w:rFonts w:asciiTheme="minorEastAsia" w:eastAsiaTheme="minorEastAsia" w:hAnsiTheme="minorEastAsia"/>
                <w:sz w:val="24"/>
                <w:szCs w:val="24"/>
              </w:rPr>
              <w:t>日</w:t>
            </w:r>
          </w:p>
        </w:tc>
      </w:tr>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除息日</w:t>
            </w:r>
          </w:p>
        </w:tc>
        <w:tc>
          <w:tcPr>
            <w:tcW w:w="8710"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21</w:t>
            </w:r>
            <w:r>
              <w:rPr>
                <w:rFonts w:asciiTheme="minorEastAsia" w:eastAsiaTheme="minorEastAsia" w:hAnsiTheme="minorEastAsia"/>
                <w:sz w:val="24"/>
                <w:szCs w:val="24"/>
              </w:rPr>
              <w:t>日（场外）</w:t>
            </w:r>
          </w:p>
        </w:tc>
      </w:tr>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现金红利发放日</w:t>
            </w:r>
          </w:p>
        </w:tc>
        <w:tc>
          <w:tcPr>
            <w:tcW w:w="4355" w:type="dxa"/>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22</w:t>
            </w:r>
            <w:r>
              <w:rPr>
                <w:rFonts w:asciiTheme="minorEastAsia" w:eastAsiaTheme="minorEastAsia" w:hAnsiTheme="minorEastAsia"/>
                <w:sz w:val="24"/>
                <w:szCs w:val="24"/>
              </w:rPr>
              <w:t>日</w:t>
            </w:r>
          </w:p>
        </w:tc>
      </w:tr>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分红对象</w:t>
            </w:r>
          </w:p>
        </w:tc>
        <w:tc>
          <w:tcPr>
            <w:tcW w:w="4355" w:type="dxa"/>
            <w:shd w:val="clear" w:color="auto" w:fill="auto"/>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权益登记日在本基金登记机构登记在册的本基金全体基金份额持有人</w:t>
            </w:r>
          </w:p>
        </w:tc>
      </w:tr>
      <w:tr w:rsidR="000278F0">
        <w:trPr>
          <w:jc w:val="center"/>
        </w:trPr>
        <w:tc>
          <w:tcPr>
            <w:tcW w:w="4355" w:type="dxa"/>
            <w:shd w:val="clear" w:color="auto" w:fill="auto"/>
            <w:vAlign w:val="center"/>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红利再投资相关事项的说明</w:t>
            </w:r>
          </w:p>
        </w:tc>
        <w:tc>
          <w:tcPr>
            <w:tcW w:w="4355" w:type="dxa"/>
            <w:shd w:val="clear" w:color="auto" w:fill="auto"/>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根据本基金基金合同的约定，本基金收益分配方式仅有现金分红。</w:t>
            </w:r>
          </w:p>
        </w:tc>
      </w:tr>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税收相关事项的说明</w:t>
            </w:r>
          </w:p>
        </w:tc>
        <w:tc>
          <w:tcPr>
            <w:tcW w:w="4355" w:type="dxa"/>
            <w:shd w:val="clear" w:color="auto" w:fill="auto"/>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根据财政部、国家税务总局的财税字【</w:t>
            </w:r>
            <w:r>
              <w:rPr>
                <w:rFonts w:asciiTheme="minorEastAsia" w:eastAsiaTheme="minorEastAsia" w:hAnsiTheme="minorEastAsia"/>
                <w:sz w:val="24"/>
                <w:szCs w:val="24"/>
              </w:rPr>
              <w:t>2002</w:t>
            </w:r>
            <w:r>
              <w:rPr>
                <w:rFonts w:asciiTheme="minorEastAsia" w:eastAsiaTheme="minorEastAsia" w:hAnsiTheme="minorEastAsia"/>
                <w:sz w:val="24"/>
                <w:szCs w:val="24"/>
              </w:rPr>
              <w:t>】</w:t>
            </w:r>
            <w:r>
              <w:rPr>
                <w:rFonts w:asciiTheme="minorEastAsia" w:eastAsiaTheme="minorEastAsia" w:hAnsiTheme="minorEastAsia"/>
                <w:sz w:val="24"/>
                <w:szCs w:val="24"/>
              </w:rPr>
              <w:t>128</w:t>
            </w:r>
            <w:r>
              <w:rPr>
                <w:rFonts w:asciiTheme="minorEastAsia" w:eastAsiaTheme="minorEastAsia" w:hAnsiTheme="minorEastAsia"/>
                <w:sz w:val="24"/>
                <w:szCs w:val="24"/>
              </w:rPr>
              <w:t>号《关于开放式证券投资基金有关税收问题的通知》，对投资者（包括个人和机构投资者）从基金分配中取得的收入，暂不征收个人所得税和企业所得税。</w:t>
            </w:r>
          </w:p>
        </w:tc>
      </w:tr>
      <w:tr w:rsidR="000278F0">
        <w:trPr>
          <w:jc w:val="center"/>
        </w:trPr>
        <w:tc>
          <w:tcPr>
            <w:tcW w:w="4355" w:type="dxa"/>
          </w:tcPr>
          <w:p w:rsidR="000278F0" w:rsidRDefault="00760E58">
            <w:pPr>
              <w:spacing w:line="360" w:lineRule="auto"/>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费用相关事项的说明</w:t>
            </w:r>
          </w:p>
        </w:tc>
        <w:tc>
          <w:tcPr>
            <w:tcW w:w="4355" w:type="dxa"/>
            <w:shd w:val="clear" w:color="auto" w:fill="auto"/>
          </w:tcPr>
          <w:p w:rsidR="000278F0" w:rsidRDefault="00760E58">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本基金本次分红免收分红手续费。</w:t>
            </w:r>
          </w:p>
        </w:tc>
      </w:tr>
    </w:tbl>
    <w:p w:rsidR="000278F0" w:rsidRDefault="00760E58">
      <w:pPr>
        <w:pStyle w:val="2"/>
        <w:spacing w:line="360" w:lineRule="auto"/>
        <w:rPr>
          <w:rFonts w:asciiTheme="minorEastAsia" w:eastAsiaTheme="minorEastAsia" w:hAnsiTheme="minorEastAsia"/>
          <w:bCs w:val="0"/>
          <w:color w:val="000000"/>
          <w:sz w:val="24"/>
          <w:szCs w:val="24"/>
        </w:rPr>
      </w:pPr>
      <w:bookmarkStart w:id="3" w:name="_Toc275961420"/>
      <w:r>
        <w:rPr>
          <w:rFonts w:asciiTheme="minorEastAsia" w:eastAsiaTheme="minorEastAsia" w:hAnsiTheme="minorEastAsia"/>
          <w:bCs w:val="0"/>
          <w:color w:val="000000"/>
          <w:sz w:val="24"/>
          <w:szCs w:val="24"/>
        </w:rPr>
        <w:t>3</w:t>
      </w:r>
      <w:r>
        <w:rPr>
          <w:rFonts w:asciiTheme="minorEastAsia" w:eastAsiaTheme="minorEastAsia" w:hAnsiTheme="minorEastAsia"/>
          <w:bCs w:val="0"/>
          <w:color w:val="000000"/>
          <w:sz w:val="24"/>
          <w:szCs w:val="24"/>
        </w:rPr>
        <w:t xml:space="preserve"> </w:t>
      </w:r>
      <w:r>
        <w:rPr>
          <w:rFonts w:asciiTheme="minorEastAsia" w:eastAsiaTheme="minorEastAsia" w:hAnsiTheme="minorEastAsia"/>
          <w:bCs w:val="0"/>
          <w:color w:val="000000"/>
          <w:sz w:val="24"/>
          <w:szCs w:val="24"/>
        </w:rPr>
        <w:t>其他需要提示的事项</w:t>
      </w:r>
      <w:bookmarkEnd w:id="3"/>
    </w:p>
    <w:p w:rsidR="000278F0" w:rsidRDefault="00760E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根据本基金基金合同的约定，本基金收益分配方式仅有现金分红，红利款将于</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22</w:t>
      </w:r>
      <w:r>
        <w:rPr>
          <w:rFonts w:asciiTheme="minorEastAsia" w:eastAsiaTheme="minorEastAsia" w:hAnsiTheme="minorEastAsia"/>
          <w:sz w:val="24"/>
          <w:szCs w:val="24"/>
        </w:rPr>
        <w:t>日自基金托管专户划出。</w:t>
      </w:r>
    </w:p>
    <w:p w:rsidR="000278F0" w:rsidRDefault="00760E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风险提示：本基金分红并不改变本基金的风险收益特征，也不会因此降低基金投资风险或提高基金投资收益。投资者欲了解有关分红的情况，可到办理业务的当地销售网点查询，也可以登录本公司网站</w:t>
      </w:r>
      <w:r>
        <w:rPr>
          <w:rFonts w:asciiTheme="minorEastAsia" w:eastAsiaTheme="minorEastAsia" w:hAnsiTheme="minorEastAsia"/>
          <w:sz w:val="24"/>
          <w:szCs w:val="24"/>
        </w:rPr>
        <w:t>(www.swsmu.com)</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400-880-8588 (</w:t>
      </w:r>
      <w:r>
        <w:rPr>
          <w:rFonts w:asciiTheme="minorEastAsia" w:eastAsiaTheme="minorEastAsia" w:hAnsiTheme="minorEastAsia"/>
          <w:sz w:val="24"/>
          <w:szCs w:val="24"/>
        </w:rPr>
        <w:t>免长途话费</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或</w:t>
      </w:r>
      <w:r>
        <w:rPr>
          <w:rFonts w:asciiTheme="minorEastAsia" w:eastAsiaTheme="minorEastAsia" w:hAnsiTheme="minorEastAsia"/>
          <w:sz w:val="24"/>
          <w:szCs w:val="24"/>
        </w:rPr>
        <w:t>021-962299</w:t>
      </w:r>
      <w:r>
        <w:rPr>
          <w:rFonts w:asciiTheme="minorEastAsia" w:eastAsiaTheme="minorEastAsia" w:hAnsiTheme="minorEastAsia"/>
          <w:sz w:val="24"/>
          <w:szCs w:val="24"/>
        </w:rPr>
        <w:t>咨询相关事宜。</w:t>
      </w:r>
    </w:p>
    <w:p w:rsidR="000278F0" w:rsidRDefault="00760E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本公司承诺以诚实信用、勤勉尽责的原则管理和运用基金资产，但不保证基金</w:t>
      </w:r>
      <w:r>
        <w:rPr>
          <w:rFonts w:asciiTheme="minorEastAsia" w:eastAsiaTheme="minorEastAsia" w:hAnsiTheme="minorEastAsia"/>
          <w:sz w:val="24"/>
          <w:szCs w:val="24"/>
        </w:rPr>
        <w:t>一定盈利，也不保证最低收益。敬请投资人注意投资风险。</w:t>
      </w:r>
    </w:p>
    <w:p w:rsidR="000278F0" w:rsidRDefault="00760E5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p>
    <w:sectPr w:rsidR="000278F0" w:rsidSect="000278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893436"/>
    <w:rsid w:val="000278F0"/>
    <w:rsid w:val="00041353"/>
    <w:rsid w:val="00057AC1"/>
    <w:rsid w:val="00083B7C"/>
    <w:rsid w:val="00085F5C"/>
    <w:rsid w:val="0009778C"/>
    <w:rsid w:val="000A19B2"/>
    <w:rsid w:val="000C39F6"/>
    <w:rsid w:val="00111BD0"/>
    <w:rsid w:val="00135CA1"/>
    <w:rsid w:val="001E1256"/>
    <w:rsid w:val="00226206"/>
    <w:rsid w:val="00242E4D"/>
    <w:rsid w:val="002641B7"/>
    <w:rsid w:val="002744A0"/>
    <w:rsid w:val="002825C8"/>
    <w:rsid w:val="00284B1B"/>
    <w:rsid w:val="002A63B7"/>
    <w:rsid w:val="002C08C5"/>
    <w:rsid w:val="003160F8"/>
    <w:rsid w:val="00362297"/>
    <w:rsid w:val="00386931"/>
    <w:rsid w:val="0039192C"/>
    <w:rsid w:val="003E51F2"/>
    <w:rsid w:val="00410642"/>
    <w:rsid w:val="00411A38"/>
    <w:rsid w:val="00462525"/>
    <w:rsid w:val="00486934"/>
    <w:rsid w:val="004966BA"/>
    <w:rsid w:val="00506E3A"/>
    <w:rsid w:val="005439EC"/>
    <w:rsid w:val="005715B6"/>
    <w:rsid w:val="005B087C"/>
    <w:rsid w:val="005C57A1"/>
    <w:rsid w:val="00602C3F"/>
    <w:rsid w:val="006A2E06"/>
    <w:rsid w:val="006E41A5"/>
    <w:rsid w:val="00721B55"/>
    <w:rsid w:val="00751BA5"/>
    <w:rsid w:val="00760E58"/>
    <w:rsid w:val="007C142C"/>
    <w:rsid w:val="007D01E7"/>
    <w:rsid w:val="007F6075"/>
    <w:rsid w:val="00834BAE"/>
    <w:rsid w:val="00893436"/>
    <w:rsid w:val="008D1F66"/>
    <w:rsid w:val="00901C58"/>
    <w:rsid w:val="009117E2"/>
    <w:rsid w:val="009732A4"/>
    <w:rsid w:val="00A81C93"/>
    <w:rsid w:val="00AC3CC5"/>
    <w:rsid w:val="00B44BBE"/>
    <w:rsid w:val="00B71DA2"/>
    <w:rsid w:val="00BA7F58"/>
    <w:rsid w:val="00BD7533"/>
    <w:rsid w:val="00BF5698"/>
    <w:rsid w:val="00C31B5B"/>
    <w:rsid w:val="00C33DDD"/>
    <w:rsid w:val="00CB3D18"/>
    <w:rsid w:val="00CC001C"/>
    <w:rsid w:val="00DB7CD4"/>
    <w:rsid w:val="00E16B6D"/>
    <w:rsid w:val="00E24390"/>
    <w:rsid w:val="00E379B4"/>
    <w:rsid w:val="00EA12C9"/>
    <w:rsid w:val="00F0033B"/>
    <w:rsid w:val="00F42CA6"/>
    <w:rsid w:val="00F45E48"/>
    <w:rsid w:val="00F645EE"/>
    <w:rsid w:val="2D210986"/>
    <w:rsid w:val="649A2339"/>
    <w:rsid w:val="6D9D29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278F0"/>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0278F0"/>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278F0"/>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uiPriority w:val="99"/>
    <w:semiHidden/>
    <w:unhideWhenUsed/>
    <w:qFormat/>
    <w:rsid w:val="000278F0"/>
    <w:rPr>
      <w:rFonts w:ascii="宋体" w:eastAsia="宋体"/>
      <w:sz w:val="18"/>
      <w:szCs w:val="18"/>
    </w:rPr>
  </w:style>
  <w:style w:type="paragraph" w:styleId="a4">
    <w:name w:val="Balloon Text"/>
    <w:basedOn w:val="a"/>
    <w:link w:val="Char0"/>
    <w:autoRedefine/>
    <w:uiPriority w:val="99"/>
    <w:semiHidden/>
    <w:unhideWhenUsed/>
    <w:qFormat/>
    <w:rsid w:val="000278F0"/>
    <w:rPr>
      <w:sz w:val="18"/>
      <w:szCs w:val="18"/>
    </w:rPr>
  </w:style>
  <w:style w:type="paragraph" w:styleId="a5">
    <w:name w:val="footer"/>
    <w:basedOn w:val="a"/>
    <w:link w:val="Char1"/>
    <w:uiPriority w:val="99"/>
    <w:unhideWhenUsed/>
    <w:qFormat/>
    <w:rsid w:val="000278F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278F0"/>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0278F0"/>
    <w:pPr>
      <w:snapToGrid w:val="0"/>
      <w:jc w:val="left"/>
    </w:pPr>
    <w:rPr>
      <w:rFonts w:eastAsia="宋体"/>
      <w:sz w:val="18"/>
    </w:rPr>
  </w:style>
  <w:style w:type="character" w:styleId="a8">
    <w:name w:val="footnote reference"/>
    <w:basedOn w:val="a0"/>
    <w:qFormat/>
    <w:rsid w:val="000278F0"/>
    <w:rPr>
      <w:vertAlign w:val="superscript"/>
    </w:rPr>
  </w:style>
  <w:style w:type="character" w:customStyle="1" w:styleId="1Char">
    <w:name w:val="标题 1 Char"/>
    <w:basedOn w:val="a0"/>
    <w:link w:val="1"/>
    <w:qFormat/>
    <w:rsid w:val="000278F0"/>
    <w:rPr>
      <w:rFonts w:ascii="Times New Roman" w:eastAsia="宋体" w:hAnsi="Times New Roman" w:cs="Times New Roman"/>
      <w:b/>
      <w:bCs/>
      <w:kern w:val="44"/>
      <w:sz w:val="44"/>
      <w:szCs w:val="44"/>
    </w:rPr>
  </w:style>
  <w:style w:type="character" w:customStyle="1" w:styleId="2Char">
    <w:name w:val="标题 2 Char"/>
    <w:basedOn w:val="a0"/>
    <w:link w:val="2"/>
    <w:qFormat/>
    <w:rsid w:val="000278F0"/>
    <w:rPr>
      <w:rFonts w:ascii="Arial" w:eastAsia="黑体" w:hAnsi="Arial" w:cs="Times New Roman"/>
      <w:b/>
      <w:bCs/>
      <w:sz w:val="32"/>
      <w:szCs w:val="32"/>
    </w:rPr>
  </w:style>
  <w:style w:type="character" w:customStyle="1" w:styleId="Char3">
    <w:name w:val="脚注文本 Char"/>
    <w:basedOn w:val="a0"/>
    <w:link w:val="a7"/>
    <w:autoRedefine/>
    <w:qFormat/>
    <w:rsid w:val="000278F0"/>
    <w:rPr>
      <w:rFonts w:ascii="Times New Roman" w:eastAsia="宋体" w:hAnsi="Times New Roman" w:cs="Times New Roman"/>
      <w:sz w:val="18"/>
      <w:szCs w:val="20"/>
    </w:rPr>
  </w:style>
  <w:style w:type="character" w:customStyle="1" w:styleId="Char">
    <w:name w:val="文档结构图 Char"/>
    <w:basedOn w:val="a0"/>
    <w:link w:val="a3"/>
    <w:autoRedefine/>
    <w:uiPriority w:val="99"/>
    <w:semiHidden/>
    <w:qFormat/>
    <w:rsid w:val="000278F0"/>
    <w:rPr>
      <w:rFonts w:ascii="宋体" w:eastAsia="宋体" w:hAnsi="Times New Roman" w:cs="Times New Roman"/>
      <w:sz w:val="18"/>
      <w:szCs w:val="18"/>
    </w:rPr>
  </w:style>
  <w:style w:type="character" w:customStyle="1" w:styleId="Char2">
    <w:name w:val="页眉 Char"/>
    <w:basedOn w:val="a0"/>
    <w:link w:val="a6"/>
    <w:autoRedefine/>
    <w:uiPriority w:val="99"/>
    <w:qFormat/>
    <w:rsid w:val="000278F0"/>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0278F0"/>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0278F0"/>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4</DocSecurity>
  <Lines>7</Lines>
  <Paragraphs>2</Paragraphs>
  <ScaleCrop>false</ScaleCrop>
  <Company>微软中国</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EACAC928D893499AB91D5C44480D0DD6_13</vt:lpwstr>
  </property>
</Properties>
</file>