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85DD2" w:rsidRDefault="005901D5" w:rsidP="00B85DD2">
      <w:pPr>
        <w:pStyle w:val="a7"/>
        <w:spacing w:before="0" w:beforeAutospacing="0" w:after="0" w:afterAutospacing="0" w:line="360" w:lineRule="auto"/>
        <w:jc w:val="center"/>
        <w:rPr>
          <w:b/>
          <w:bCs/>
          <w:sz w:val="28"/>
        </w:rPr>
      </w:pPr>
      <w:bookmarkStart w:id="0" w:name="_GoBack"/>
      <w:bookmarkEnd w:id="0"/>
      <w:r w:rsidRPr="005901D5">
        <w:rPr>
          <w:rFonts w:hint="eastAsia"/>
          <w:b/>
          <w:bCs/>
          <w:sz w:val="28"/>
        </w:rPr>
        <w:t>金鹰基金管理有限公司旗下部分基金新增</w:t>
      </w:r>
      <w:r w:rsidR="008803B5" w:rsidRPr="008803B5">
        <w:rPr>
          <w:rFonts w:hint="eastAsia"/>
          <w:b/>
          <w:bCs/>
          <w:sz w:val="28"/>
        </w:rPr>
        <w:t>山西证券股份有限公司</w:t>
      </w:r>
      <w:r w:rsidRPr="005901D5">
        <w:rPr>
          <w:rFonts w:hint="eastAsia"/>
          <w:b/>
          <w:bCs/>
          <w:sz w:val="28"/>
        </w:rPr>
        <w:t>为代销机构并开通基金转换、基金定投业务及费率优惠的公</w:t>
      </w:r>
      <w:r w:rsidR="00B85DD2" w:rsidRPr="00B85DD2">
        <w:rPr>
          <w:rFonts w:hint="eastAsia"/>
          <w:b/>
          <w:bCs/>
          <w:sz w:val="28"/>
        </w:rPr>
        <w:t>告</w:t>
      </w:r>
    </w:p>
    <w:p w:rsidR="00B85DD2" w:rsidRPr="00680493" w:rsidRDefault="00B85DD2"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786DAF">
        <w:rPr>
          <w:rFonts w:cs="Calibri" w:hint="eastAsia"/>
        </w:rPr>
        <w:t>本基金管理人</w:t>
      </w:r>
      <w:r w:rsidRPr="009877A4">
        <w:rPr>
          <w:rFonts w:cs="Calibri" w:hint="eastAsia"/>
        </w:rPr>
        <w:t>”）与</w:t>
      </w:r>
      <w:r w:rsidR="008803B5" w:rsidRPr="008803B5">
        <w:rPr>
          <w:rFonts w:hint="eastAsia"/>
        </w:rPr>
        <w:t>山西证券股份有限公司</w:t>
      </w:r>
      <w:r w:rsidR="00163302" w:rsidRPr="00FE28BD">
        <w:rPr>
          <w:rFonts w:hint="eastAsia"/>
        </w:rPr>
        <w:t>（以下简称“</w:t>
      </w:r>
      <w:r w:rsidR="008803B5">
        <w:rPr>
          <w:rFonts w:hint="eastAsia"/>
        </w:rPr>
        <w:t>山西证券</w:t>
      </w:r>
      <w:r w:rsidR="00163302" w:rsidRPr="00FE28BD">
        <w:rPr>
          <w:rFonts w:hint="eastAsia"/>
        </w:rPr>
        <w:t>”</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786DAF">
        <w:rPr>
          <w:rFonts w:cs="Calibri" w:hint="eastAsia"/>
        </w:rPr>
        <w:t>本基金管理人</w:t>
      </w:r>
      <w:r w:rsidRPr="009877A4">
        <w:rPr>
          <w:rFonts w:cs="Calibri" w:hint="eastAsia"/>
        </w:rPr>
        <w:t>决定自</w:t>
      </w:r>
      <w:r w:rsidR="00163302">
        <w:rPr>
          <w:rFonts w:cs="Calibri" w:hint="eastAsia"/>
        </w:rPr>
        <w:t>202</w:t>
      </w:r>
      <w:r w:rsidR="004B6D70">
        <w:rPr>
          <w:rFonts w:cs="Calibri"/>
        </w:rPr>
        <w:t>4</w:t>
      </w:r>
      <w:r w:rsidRPr="009877A4">
        <w:rPr>
          <w:rFonts w:cs="Calibri" w:hint="eastAsia"/>
        </w:rPr>
        <w:t>年</w:t>
      </w:r>
      <w:r w:rsidR="006E2E93">
        <w:rPr>
          <w:rFonts w:cs="Calibri"/>
        </w:rPr>
        <w:t>3</w:t>
      </w:r>
      <w:r w:rsidRPr="009877A4">
        <w:rPr>
          <w:rFonts w:cs="Calibri" w:hint="eastAsia"/>
        </w:rPr>
        <w:t>月</w:t>
      </w:r>
      <w:r w:rsidR="004004C3">
        <w:rPr>
          <w:rFonts w:cs="Calibri"/>
        </w:rPr>
        <w:t>1</w:t>
      </w:r>
      <w:r w:rsidR="008803B5">
        <w:rPr>
          <w:rFonts w:cs="Calibri"/>
        </w:rPr>
        <w:t>9</w:t>
      </w:r>
      <w:r w:rsidR="00893DD2">
        <w:rPr>
          <w:rFonts w:cs="Calibri" w:hint="eastAsia"/>
        </w:rPr>
        <w:t>日</w:t>
      </w:r>
      <w:r w:rsidRPr="009877A4">
        <w:rPr>
          <w:rFonts w:cs="Calibri" w:hint="eastAsia"/>
        </w:rPr>
        <w:t>起</w:t>
      </w:r>
      <w:r w:rsidRPr="009877A4">
        <w:rPr>
          <w:rFonts w:asciiTheme="minorEastAsia" w:hAnsiTheme="minorEastAsia" w:cs="Calibri" w:hint="eastAsia"/>
        </w:rPr>
        <w:t>，</w:t>
      </w:r>
      <w:r w:rsidR="007E2426">
        <w:rPr>
          <w:rFonts w:asciiTheme="minorEastAsia" w:hAnsiTheme="minorEastAsia" w:cs="Calibri" w:hint="eastAsia"/>
        </w:rPr>
        <w:t>通过</w:t>
      </w:r>
      <w:r w:rsidR="008803B5">
        <w:rPr>
          <w:rFonts w:asciiTheme="minorEastAsia" w:hAnsiTheme="minorEastAsia" w:cs="Calibri" w:hint="eastAsia"/>
        </w:rPr>
        <w:t>山西证券</w:t>
      </w:r>
      <w:r w:rsidR="00447446" w:rsidRPr="00447446">
        <w:rPr>
          <w:rFonts w:asciiTheme="minorEastAsia" w:hAnsiTheme="minorEastAsia" w:cs="Calibri" w:hint="eastAsia"/>
        </w:rPr>
        <w:t>代理销售</w:t>
      </w:r>
      <w:r w:rsidR="00786DAF">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w:t>
      </w:r>
      <w:r w:rsidR="0070267D" w:rsidRPr="00AF76F6">
        <w:rPr>
          <w:rFonts w:asciiTheme="minorEastAsia" w:eastAsiaTheme="minorEastAsia" w:hAnsiTheme="minorEastAsia" w:cstheme="minorEastAsia" w:hint="eastAsia"/>
          <w:color w:val="000000" w:themeColor="text1"/>
        </w:rPr>
        <w:t>基金定期定额投资（以下简称“基金定投”）</w:t>
      </w:r>
      <w:r w:rsidR="007E2426">
        <w:rPr>
          <w:rFonts w:asciiTheme="minorEastAsia" w:eastAsiaTheme="minorEastAsia" w:hAnsiTheme="minorEastAsia" w:cstheme="minorEastAsia" w:hint="eastAsia"/>
          <w:color w:val="000000" w:themeColor="text1"/>
        </w:rPr>
        <w:t>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2A228B">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一、新增代销基金</w:t>
      </w:r>
    </w:p>
    <w:tbl>
      <w:tblPr>
        <w:tblStyle w:val="a9"/>
        <w:tblW w:w="8642" w:type="dxa"/>
        <w:tblLook w:val="04A0"/>
      </w:tblPr>
      <w:tblGrid>
        <w:gridCol w:w="1526"/>
        <w:gridCol w:w="7116"/>
      </w:tblGrid>
      <w:tr w:rsidR="00CA62D2" w:rsidRPr="004636F5" w:rsidTr="00B94EB7">
        <w:trPr>
          <w:trHeight w:val="492"/>
        </w:trPr>
        <w:tc>
          <w:tcPr>
            <w:tcW w:w="1526" w:type="dxa"/>
            <w:noWrap/>
            <w:hideMark/>
          </w:tcPr>
          <w:p w:rsidR="00CA62D2" w:rsidRPr="004636F5" w:rsidRDefault="00CA62D2" w:rsidP="0090126B">
            <w:pPr>
              <w:pStyle w:val="a7"/>
              <w:spacing w:line="360" w:lineRule="auto"/>
              <w:ind w:firstLineChars="100" w:firstLine="241"/>
              <w:jc w:val="both"/>
              <w:rPr>
                <w:rFonts w:asciiTheme="minorEastAsia" w:hAnsiTheme="minorEastAsia" w:cstheme="minorEastAsia"/>
                <w:b/>
                <w:bCs/>
                <w:color w:val="000000" w:themeColor="text1"/>
              </w:rPr>
            </w:pPr>
            <w:r w:rsidRPr="004636F5">
              <w:rPr>
                <w:rFonts w:asciiTheme="minorEastAsia" w:hAnsiTheme="minorEastAsia" w:cstheme="minorEastAsia" w:hint="eastAsia"/>
                <w:b/>
                <w:bCs/>
                <w:color w:val="000000" w:themeColor="text1"/>
              </w:rPr>
              <w:t>基金代码</w:t>
            </w:r>
          </w:p>
        </w:tc>
        <w:tc>
          <w:tcPr>
            <w:tcW w:w="7116" w:type="dxa"/>
            <w:noWrap/>
            <w:hideMark/>
          </w:tcPr>
          <w:p w:rsidR="00CA62D2" w:rsidRPr="004636F5" w:rsidRDefault="00CA62D2" w:rsidP="0090126B">
            <w:pPr>
              <w:pStyle w:val="a7"/>
              <w:spacing w:line="360" w:lineRule="auto"/>
              <w:ind w:firstLineChars="900" w:firstLine="2168"/>
              <w:jc w:val="both"/>
              <w:rPr>
                <w:rFonts w:asciiTheme="minorEastAsia" w:hAnsiTheme="minorEastAsia" w:cstheme="minorEastAsia"/>
                <w:b/>
                <w:bCs/>
                <w:color w:val="000000" w:themeColor="text1"/>
              </w:rPr>
            </w:pPr>
            <w:r>
              <w:rPr>
                <w:rFonts w:asciiTheme="minorEastAsia" w:hAnsiTheme="minorEastAsia" w:cstheme="minorEastAsia" w:hint="eastAsia"/>
                <w:b/>
                <w:bCs/>
                <w:color w:val="000000" w:themeColor="text1"/>
              </w:rPr>
              <w:t>产品</w:t>
            </w:r>
            <w:r w:rsidRPr="004636F5">
              <w:rPr>
                <w:rFonts w:asciiTheme="minorEastAsia" w:hAnsiTheme="minorEastAsia" w:cstheme="minorEastAsia" w:hint="eastAsia"/>
                <w:b/>
                <w:bCs/>
                <w:color w:val="000000" w:themeColor="text1"/>
              </w:rPr>
              <w:t>名称</w:t>
            </w:r>
          </w:p>
        </w:tc>
      </w:tr>
      <w:tr w:rsidR="005148CF" w:rsidRPr="00B94EB7" w:rsidTr="00D36E99">
        <w:trPr>
          <w:trHeight w:val="285"/>
        </w:trPr>
        <w:tc>
          <w:tcPr>
            <w:tcW w:w="152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016563</w:t>
            </w:r>
          </w:p>
        </w:tc>
        <w:tc>
          <w:tcPr>
            <w:tcW w:w="711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金鹰红利价值灵活配置混合型证券投资基金C类份额</w:t>
            </w:r>
          </w:p>
        </w:tc>
      </w:tr>
      <w:tr w:rsidR="005148CF" w:rsidRPr="00B94EB7" w:rsidTr="00D36E99">
        <w:trPr>
          <w:trHeight w:val="285"/>
        </w:trPr>
        <w:tc>
          <w:tcPr>
            <w:tcW w:w="152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001167</w:t>
            </w:r>
          </w:p>
        </w:tc>
        <w:tc>
          <w:tcPr>
            <w:tcW w:w="711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金鹰科技创新股票型证券投资基金A类份额</w:t>
            </w:r>
          </w:p>
        </w:tc>
      </w:tr>
      <w:tr w:rsidR="005148CF" w:rsidRPr="00B94EB7" w:rsidTr="00FF0952">
        <w:trPr>
          <w:trHeight w:val="285"/>
        </w:trPr>
        <w:tc>
          <w:tcPr>
            <w:tcW w:w="152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019093</w:t>
            </w:r>
          </w:p>
        </w:tc>
        <w:tc>
          <w:tcPr>
            <w:tcW w:w="711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金鹰科技创新股票型证券投资基金C类份额</w:t>
            </w:r>
          </w:p>
        </w:tc>
      </w:tr>
      <w:tr w:rsidR="005148CF" w:rsidRPr="00B94EB7" w:rsidTr="00FF0952">
        <w:trPr>
          <w:trHeight w:val="285"/>
        </w:trPr>
        <w:tc>
          <w:tcPr>
            <w:tcW w:w="152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005010</w:t>
            </w:r>
          </w:p>
        </w:tc>
        <w:tc>
          <w:tcPr>
            <w:tcW w:w="711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金鹰添瑞中短债债券型证券投资基金A类份额</w:t>
            </w:r>
          </w:p>
        </w:tc>
      </w:tr>
      <w:tr w:rsidR="005148CF" w:rsidRPr="00B94EB7" w:rsidTr="00FF0952">
        <w:trPr>
          <w:trHeight w:val="285"/>
        </w:trPr>
        <w:tc>
          <w:tcPr>
            <w:tcW w:w="152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005011</w:t>
            </w:r>
          </w:p>
        </w:tc>
        <w:tc>
          <w:tcPr>
            <w:tcW w:w="711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金鹰添瑞中短债债券型证券投资基金C类份额</w:t>
            </w:r>
          </w:p>
        </w:tc>
      </w:tr>
      <w:tr w:rsidR="005148CF" w:rsidRPr="00B94EB7" w:rsidTr="00FF0952">
        <w:trPr>
          <w:trHeight w:val="285"/>
        </w:trPr>
        <w:tc>
          <w:tcPr>
            <w:tcW w:w="152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019638</w:t>
            </w:r>
          </w:p>
        </w:tc>
        <w:tc>
          <w:tcPr>
            <w:tcW w:w="7116" w:type="dxa"/>
            <w:noWrap/>
            <w:vAlign w:val="center"/>
          </w:tcPr>
          <w:p w:rsidR="005148CF" w:rsidRPr="00FA16C4" w:rsidRDefault="005148CF" w:rsidP="005148CF">
            <w:pPr>
              <w:pStyle w:val="a7"/>
              <w:spacing w:line="360" w:lineRule="auto"/>
              <w:ind w:firstLine="420"/>
              <w:rPr>
                <w:color w:val="000000"/>
              </w:rPr>
            </w:pPr>
            <w:r w:rsidRPr="00FA16C4">
              <w:rPr>
                <w:rFonts w:hint="eastAsia"/>
                <w:color w:val="000000"/>
              </w:rPr>
              <w:t>金鹰添瑞中短债债券型证券投资基金D类份额</w:t>
            </w:r>
          </w:p>
        </w:tc>
      </w:tr>
    </w:tbl>
    <w:p w:rsidR="00A00AAF" w:rsidRPr="009877A4" w:rsidRDefault="00A00AAF" w:rsidP="009974A3">
      <w:pPr>
        <w:pStyle w:val="Default"/>
        <w:snapToGrid w:val="0"/>
        <w:spacing w:line="360" w:lineRule="auto"/>
        <w:ind w:firstLineChars="200" w:firstLine="480"/>
        <w:jc w:val="both"/>
        <w:rPr>
          <w:rFonts w:ascii="宋体" w:eastAsia="宋体" w:hAnsi="宋体" w:cs="Calibri"/>
          <w:color w:val="auto"/>
        </w:rPr>
      </w:pPr>
    </w:p>
    <w:p w:rsidR="0004705D" w:rsidRDefault="00DB229B"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二、</w:t>
      </w:r>
      <w:r w:rsidR="00AF76F6" w:rsidRPr="00AF76F6">
        <w:rPr>
          <w:rFonts w:asciiTheme="minorEastAsia" w:eastAsiaTheme="minorEastAsia" w:hAnsiTheme="minorEastAsia" w:cstheme="minorEastAsia" w:hint="eastAsia"/>
          <w:color w:val="000000" w:themeColor="text1"/>
        </w:rPr>
        <w:t>投资者可在</w:t>
      </w:r>
      <w:r w:rsidR="008803B5">
        <w:rPr>
          <w:rFonts w:asciiTheme="minorEastAsia" w:eastAsiaTheme="minorEastAsia" w:hAnsiTheme="minorEastAsia" w:cstheme="minorEastAsia" w:hint="eastAsia"/>
          <w:color w:val="000000" w:themeColor="text1"/>
        </w:rPr>
        <w:t>山西证券</w:t>
      </w:r>
      <w:r w:rsidR="00AF76F6" w:rsidRPr="00AF76F6">
        <w:rPr>
          <w:rFonts w:asciiTheme="minorEastAsia" w:eastAsiaTheme="minorEastAsia" w:hAnsiTheme="minorEastAsia" w:cstheme="minorEastAsia" w:hint="eastAsia"/>
          <w:color w:val="000000" w:themeColor="text1"/>
        </w:rPr>
        <w:t>办理上述基金的开户、申购、赎回、基金转换、基金定投等业务，相关规则遵照代销机构的有关规定以及上述基金的招募说明书、基金合同、产品资料概要等法律文件</w:t>
      </w:r>
      <w:r>
        <w:rPr>
          <w:rFonts w:asciiTheme="minorEastAsia" w:hAnsiTheme="minorEastAsia" w:cstheme="minorEastAsia" w:hint="eastAsia"/>
          <w:color w:val="000000" w:themeColor="text1"/>
        </w:rPr>
        <w:t>。</w:t>
      </w:r>
    </w:p>
    <w:p w:rsidR="002C772D" w:rsidRPr="002C772D" w:rsidRDefault="002C772D" w:rsidP="002C772D">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896204" w:rsidRDefault="00E7053C"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8120E" w:rsidRDefault="002D6C1C" w:rsidP="00A2144F">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1</w:t>
      </w:r>
      <w:r w:rsidR="005F7443">
        <w:rPr>
          <w:rFonts w:asciiTheme="minorEastAsia" w:eastAsiaTheme="minorEastAsia" w:hAnsiTheme="minorEastAsia" w:cstheme="minorEastAsia" w:hint="eastAsia"/>
          <w:color w:val="000000" w:themeColor="text1"/>
        </w:rPr>
        <w:t>、</w:t>
      </w:r>
      <w:r w:rsidR="00A2144F" w:rsidRPr="00A2144F">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8120E" w:rsidRDefault="002D6C1C"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lastRenderedPageBreak/>
        <w:t>2</w:t>
      </w:r>
      <w:r w:rsidR="0028120E">
        <w:rPr>
          <w:rFonts w:asciiTheme="minorEastAsia" w:eastAsiaTheme="minorEastAsia" w:hAnsiTheme="minorEastAsia" w:cstheme="minorEastAsia" w:hint="eastAsia"/>
          <w:color w:val="000000" w:themeColor="text1"/>
        </w:rPr>
        <w:t>、</w:t>
      </w:r>
      <w:r w:rsidR="00A2144F" w:rsidRPr="00A2144F">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FOF基金产品不支持与其他非FOF基金产品之间互相转换；对于同一只基金不同份额之间不支持相互转换。</w:t>
      </w:r>
    </w:p>
    <w:p w:rsidR="0028120E" w:rsidRDefault="002D6C1C" w:rsidP="0086084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sidR="0028120E">
        <w:rPr>
          <w:rFonts w:asciiTheme="minorEastAsia" w:eastAsiaTheme="minorEastAsia" w:hAnsiTheme="minorEastAsia" w:cstheme="minorEastAsia" w:hint="eastAsia"/>
          <w:color w:val="000000" w:themeColor="text1"/>
        </w:rPr>
        <w:t>、</w:t>
      </w:r>
      <w:r w:rsidR="00FA16C4" w:rsidRPr="00FA16C4">
        <w:rPr>
          <w:rFonts w:asciiTheme="minorEastAsia" w:eastAsiaTheme="minorEastAsia" w:hAnsiTheme="minorEastAsia" w:cstheme="minorEastAsia" w:hint="eastAsia"/>
          <w:color w:val="000000" w:themeColor="text1"/>
        </w:rPr>
        <w:t>对于</w:t>
      </w:r>
      <w:r w:rsidR="00FA16C4">
        <w:rPr>
          <w:rFonts w:asciiTheme="minorEastAsia" w:eastAsiaTheme="minorEastAsia" w:hAnsiTheme="minorEastAsia" w:cstheme="minorEastAsia" w:hint="eastAsia"/>
          <w:color w:val="000000" w:themeColor="text1"/>
        </w:rPr>
        <w:t>山西证券</w:t>
      </w:r>
      <w:r w:rsidR="00FA16C4" w:rsidRPr="00FA16C4">
        <w:rPr>
          <w:rFonts w:asciiTheme="minorEastAsia" w:eastAsiaTheme="minorEastAsia" w:hAnsiTheme="minorEastAsia" w:cstheme="minorEastAsia" w:hint="eastAsia"/>
          <w:color w:val="000000" w:themeColor="text1"/>
        </w:rPr>
        <w:t>实施的费率优惠活动本基金管理人不再进行限制，</w:t>
      </w:r>
      <w:r w:rsidR="0028120E">
        <w:rPr>
          <w:rFonts w:asciiTheme="minorEastAsia" w:eastAsiaTheme="minorEastAsia" w:hAnsiTheme="minorEastAsia" w:cstheme="minorEastAsia" w:hint="eastAsia"/>
          <w:color w:val="000000" w:themeColor="text1"/>
        </w:rPr>
        <w:t>投资者通过</w:t>
      </w:r>
      <w:r w:rsidR="008803B5">
        <w:rPr>
          <w:rFonts w:asciiTheme="minorEastAsia" w:eastAsiaTheme="minorEastAsia" w:hAnsiTheme="minorEastAsia" w:cstheme="minorEastAsia" w:hint="eastAsia"/>
          <w:color w:val="000000" w:themeColor="text1"/>
        </w:rPr>
        <w:t>山西证券</w:t>
      </w:r>
      <w:r w:rsidR="0028120E">
        <w:rPr>
          <w:rFonts w:asciiTheme="minorEastAsia" w:eastAsiaTheme="minorEastAsia" w:hAnsiTheme="minorEastAsia" w:cstheme="minorEastAsia" w:hint="eastAsia"/>
          <w:color w:val="000000" w:themeColor="text1"/>
        </w:rPr>
        <w:t>申购、定投本基金管理人旗下适用基金（仅限前端收费模式），其申购、定投费率以</w:t>
      </w:r>
      <w:r w:rsidR="008803B5">
        <w:rPr>
          <w:rFonts w:asciiTheme="minorEastAsia" w:eastAsiaTheme="minorEastAsia" w:hAnsiTheme="minorEastAsia" w:cstheme="minorEastAsia" w:hint="eastAsia"/>
          <w:color w:val="000000" w:themeColor="text1"/>
        </w:rPr>
        <w:t>山西证券</w:t>
      </w:r>
      <w:r w:rsidR="0028120E">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8120E" w:rsidRDefault="002D6C1C" w:rsidP="0028120E">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28120E">
        <w:rPr>
          <w:rFonts w:asciiTheme="minorEastAsia" w:eastAsiaTheme="minorEastAsia" w:hAnsiTheme="minorEastAsia" w:cstheme="minorEastAsia" w:hint="eastAsia"/>
          <w:color w:val="000000" w:themeColor="text1"/>
        </w:rPr>
        <w:t>、本基金管理人其他基金如新增</w:t>
      </w:r>
      <w:r w:rsidR="008803B5">
        <w:rPr>
          <w:rFonts w:hint="eastAsia"/>
        </w:rPr>
        <w:t>山西证券</w:t>
      </w:r>
      <w:r w:rsidR="0028120E">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8120E" w:rsidRPr="00DB229B" w:rsidRDefault="0028120E" w:rsidP="0028120E">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8803B5">
        <w:rPr>
          <w:rFonts w:cs="Calibri" w:hint="eastAsia"/>
        </w:rPr>
        <w:t>山西证券</w:t>
      </w:r>
    </w:p>
    <w:p w:rsidR="008803B5" w:rsidRPr="008803B5" w:rsidRDefault="008803B5" w:rsidP="008803B5">
      <w:pPr>
        <w:pStyle w:val="a7"/>
        <w:shd w:val="clear" w:color="auto" w:fill="FFFFFF"/>
        <w:adjustRightInd w:val="0"/>
        <w:snapToGrid w:val="0"/>
        <w:spacing w:before="0" w:beforeAutospacing="0" w:after="0" w:afterAutospacing="0" w:line="360" w:lineRule="auto"/>
        <w:ind w:firstLine="420"/>
        <w:jc w:val="both"/>
        <w:rPr>
          <w:rFonts w:cs="Calibri"/>
        </w:rPr>
      </w:pPr>
      <w:r w:rsidRPr="008803B5">
        <w:rPr>
          <w:rFonts w:cs="Calibri" w:hint="eastAsia"/>
        </w:rPr>
        <w:t>客服电话：95573</w:t>
      </w:r>
    </w:p>
    <w:p w:rsidR="008803B5" w:rsidRDefault="008803B5" w:rsidP="008803B5">
      <w:pPr>
        <w:pStyle w:val="a7"/>
        <w:shd w:val="clear" w:color="auto" w:fill="FFFFFF"/>
        <w:adjustRightInd w:val="0"/>
        <w:snapToGrid w:val="0"/>
        <w:spacing w:before="0" w:beforeAutospacing="0" w:after="0" w:afterAutospacing="0" w:line="360" w:lineRule="auto"/>
        <w:ind w:firstLine="420"/>
        <w:jc w:val="both"/>
        <w:rPr>
          <w:rFonts w:cs="Calibri"/>
        </w:rPr>
      </w:pPr>
      <w:r w:rsidRPr="008803B5">
        <w:rPr>
          <w:rFonts w:cs="Calibri" w:hint="eastAsia"/>
        </w:rPr>
        <w:t>网址：www.i618.com.cn</w:t>
      </w:r>
    </w:p>
    <w:p w:rsidR="00A00AAF" w:rsidRPr="009877A4" w:rsidRDefault="00163302" w:rsidP="008803B5">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786DAF">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t>风险提示：本基金管理人承诺以诚实信用、勤勉尽责的原则管理和运用基金资产。</w:t>
      </w:r>
      <w:r w:rsidR="001245CA" w:rsidRPr="001245CA">
        <w:rPr>
          <w:rFonts w:asciiTheme="minorEastAsia" w:eastAsiaTheme="minorEastAsia" w:hAnsiTheme="minorEastAsia" w:cstheme="minorEastAsia" w:hint="eastAsia"/>
          <w:color w:val="000000" w:themeColor="text1"/>
        </w:rPr>
        <w:t>本基金管理人不保证基金一定盈利，也不保证最低收益。</w:t>
      </w:r>
      <w:r w:rsidRPr="00987CED">
        <w:rPr>
          <w:rFonts w:asciiTheme="minorEastAsia" w:eastAsiaTheme="minorEastAsia" w:hAnsiTheme="minorEastAsia" w:cstheme="minorEastAsia" w:hint="eastAsia"/>
          <w:color w:val="000000" w:themeColor="text1"/>
        </w:rPr>
        <w:t>中国证监会对基金募集的注册</w:t>
      </w:r>
      <w:r w:rsidR="007424F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w:t>
      </w:r>
      <w:r w:rsidRPr="00987CED">
        <w:rPr>
          <w:rFonts w:asciiTheme="minorEastAsia" w:eastAsiaTheme="minorEastAsia" w:hAnsiTheme="minorEastAsia" w:cstheme="minorEastAsia" w:hint="eastAsia"/>
          <w:color w:val="000000" w:themeColor="text1"/>
        </w:rPr>
        <w:lastRenderedPageBreak/>
        <w:t>也有可能损失本金。基金管理人提醒投资者基金投资的“买者自负”原则，在投资者作出投资决策后，基金运营状况与基金净值变化引致的投资风险，由投资者自行负责。</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4A47C9" w:rsidRPr="009877A4" w:rsidRDefault="004A47C9" w:rsidP="006447C3">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rsidP="00F73AF8">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w:t>
      </w:r>
      <w:r w:rsidR="00DD1E89">
        <w:rPr>
          <w:rFonts w:cs="Calibri"/>
        </w:rPr>
        <w:t>4</w:t>
      </w:r>
      <w:r w:rsidR="009877A4" w:rsidRPr="009877A4">
        <w:rPr>
          <w:rFonts w:cs="Calibri" w:hint="eastAsia"/>
        </w:rPr>
        <w:t>年</w:t>
      </w:r>
      <w:r w:rsidR="004B44CE">
        <w:rPr>
          <w:rFonts w:cs="Calibri"/>
        </w:rPr>
        <w:t>3</w:t>
      </w:r>
      <w:r w:rsidR="009877A4" w:rsidRPr="009877A4">
        <w:rPr>
          <w:rFonts w:cs="Calibri" w:hint="eastAsia"/>
        </w:rPr>
        <w:t>月</w:t>
      </w:r>
      <w:r w:rsidR="00B94EB7">
        <w:rPr>
          <w:rFonts w:cs="Calibri"/>
        </w:rPr>
        <w:t>1</w:t>
      </w:r>
      <w:r w:rsidR="008803B5">
        <w:rPr>
          <w:rFonts w:cs="Calibri"/>
        </w:rPr>
        <w:t>9</w:t>
      </w:r>
      <w:r w:rsidR="009877A4" w:rsidRPr="009877A4">
        <w:rPr>
          <w:rFonts w:cs="Calibri" w:hint="eastAsia"/>
        </w:rPr>
        <w:t>日</w:t>
      </w:r>
    </w:p>
    <w:sectPr w:rsidR="00A00AAF" w:rsidRPr="009877A4" w:rsidSect="005176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F2D" w:rsidRDefault="00644F2D" w:rsidP="00E3201D">
      <w:r>
        <w:separator/>
      </w:r>
    </w:p>
  </w:endnote>
  <w:endnote w:type="continuationSeparator" w:id="0">
    <w:p w:rsidR="00644F2D" w:rsidRDefault="00644F2D"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F2D" w:rsidRDefault="00644F2D" w:rsidP="00E3201D">
      <w:r>
        <w:separator/>
      </w:r>
    </w:p>
  </w:footnote>
  <w:footnote w:type="continuationSeparator" w:id="0">
    <w:p w:rsidR="00644F2D" w:rsidRDefault="00644F2D"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5907"/>
    <w:rsid w:val="00025F3D"/>
    <w:rsid w:val="0004705D"/>
    <w:rsid w:val="00047E9A"/>
    <w:rsid w:val="00050C91"/>
    <w:rsid w:val="0007668C"/>
    <w:rsid w:val="00085A32"/>
    <w:rsid w:val="0009331A"/>
    <w:rsid w:val="000A67B6"/>
    <w:rsid w:val="000B1AB2"/>
    <w:rsid w:val="000C2846"/>
    <w:rsid w:val="000D170F"/>
    <w:rsid w:val="000E10B7"/>
    <w:rsid w:val="000E1FA8"/>
    <w:rsid w:val="000E7D3C"/>
    <w:rsid w:val="000F4744"/>
    <w:rsid w:val="001039C4"/>
    <w:rsid w:val="00112143"/>
    <w:rsid w:val="00112272"/>
    <w:rsid w:val="00120FA7"/>
    <w:rsid w:val="001245CA"/>
    <w:rsid w:val="00126069"/>
    <w:rsid w:val="001267F7"/>
    <w:rsid w:val="00142C3E"/>
    <w:rsid w:val="00142F9B"/>
    <w:rsid w:val="00147453"/>
    <w:rsid w:val="001545AA"/>
    <w:rsid w:val="00156402"/>
    <w:rsid w:val="00163302"/>
    <w:rsid w:val="00172A27"/>
    <w:rsid w:val="00175014"/>
    <w:rsid w:val="0018431F"/>
    <w:rsid w:val="00196156"/>
    <w:rsid w:val="001B433C"/>
    <w:rsid w:val="001C22C6"/>
    <w:rsid w:val="001C33FC"/>
    <w:rsid w:val="001E7BBF"/>
    <w:rsid w:val="002000F3"/>
    <w:rsid w:val="00204212"/>
    <w:rsid w:val="002173DE"/>
    <w:rsid w:val="002344DC"/>
    <w:rsid w:val="002351F6"/>
    <w:rsid w:val="002423B4"/>
    <w:rsid w:val="00266540"/>
    <w:rsid w:val="0026767D"/>
    <w:rsid w:val="00271319"/>
    <w:rsid w:val="0028120E"/>
    <w:rsid w:val="00293ED1"/>
    <w:rsid w:val="002A228B"/>
    <w:rsid w:val="002B1024"/>
    <w:rsid w:val="002B1557"/>
    <w:rsid w:val="002B3132"/>
    <w:rsid w:val="002B32BC"/>
    <w:rsid w:val="002B4142"/>
    <w:rsid w:val="002B6B49"/>
    <w:rsid w:val="002C28DF"/>
    <w:rsid w:val="002C547F"/>
    <w:rsid w:val="002C5740"/>
    <w:rsid w:val="002C63BA"/>
    <w:rsid w:val="002C772D"/>
    <w:rsid w:val="002D6C1C"/>
    <w:rsid w:val="002E3BA3"/>
    <w:rsid w:val="00317240"/>
    <w:rsid w:val="00336D66"/>
    <w:rsid w:val="00347AA1"/>
    <w:rsid w:val="00347FF3"/>
    <w:rsid w:val="003622CD"/>
    <w:rsid w:val="00364825"/>
    <w:rsid w:val="00372758"/>
    <w:rsid w:val="003811F5"/>
    <w:rsid w:val="003816A3"/>
    <w:rsid w:val="00390CB1"/>
    <w:rsid w:val="00395D45"/>
    <w:rsid w:val="003B3056"/>
    <w:rsid w:val="003C4285"/>
    <w:rsid w:val="003C7AEC"/>
    <w:rsid w:val="003D2696"/>
    <w:rsid w:val="003D3C4C"/>
    <w:rsid w:val="003E168F"/>
    <w:rsid w:val="003F276E"/>
    <w:rsid w:val="004004C3"/>
    <w:rsid w:val="00420793"/>
    <w:rsid w:val="0043356C"/>
    <w:rsid w:val="00445F84"/>
    <w:rsid w:val="00447446"/>
    <w:rsid w:val="004511C4"/>
    <w:rsid w:val="00453E39"/>
    <w:rsid w:val="00454303"/>
    <w:rsid w:val="004840C8"/>
    <w:rsid w:val="004944A3"/>
    <w:rsid w:val="004A05F5"/>
    <w:rsid w:val="004A0E27"/>
    <w:rsid w:val="004A1B5A"/>
    <w:rsid w:val="004A363A"/>
    <w:rsid w:val="004A47C9"/>
    <w:rsid w:val="004B1512"/>
    <w:rsid w:val="004B44CE"/>
    <w:rsid w:val="004B636A"/>
    <w:rsid w:val="004B6D70"/>
    <w:rsid w:val="004B7B90"/>
    <w:rsid w:val="004C26F2"/>
    <w:rsid w:val="004C5102"/>
    <w:rsid w:val="004D0845"/>
    <w:rsid w:val="004E2142"/>
    <w:rsid w:val="004E32AC"/>
    <w:rsid w:val="00500661"/>
    <w:rsid w:val="00504054"/>
    <w:rsid w:val="00506924"/>
    <w:rsid w:val="005148CF"/>
    <w:rsid w:val="005152DB"/>
    <w:rsid w:val="0051763F"/>
    <w:rsid w:val="00522178"/>
    <w:rsid w:val="00534398"/>
    <w:rsid w:val="00540E09"/>
    <w:rsid w:val="0055048C"/>
    <w:rsid w:val="00564204"/>
    <w:rsid w:val="00566D76"/>
    <w:rsid w:val="005670F1"/>
    <w:rsid w:val="005706A4"/>
    <w:rsid w:val="00572234"/>
    <w:rsid w:val="0059003D"/>
    <w:rsid w:val="005901D5"/>
    <w:rsid w:val="005973D4"/>
    <w:rsid w:val="005A54A0"/>
    <w:rsid w:val="005B1B58"/>
    <w:rsid w:val="005B7934"/>
    <w:rsid w:val="005C0E53"/>
    <w:rsid w:val="005D7D33"/>
    <w:rsid w:val="005E5033"/>
    <w:rsid w:val="005F0540"/>
    <w:rsid w:val="005F7443"/>
    <w:rsid w:val="00614DC0"/>
    <w:rsid w:val="00620652"/>
    <w:rsid w:val="00627EE6"/>
    <w:rsid w:val="006304B2"/>
    <w:rsid w:val="00631BBC"/>
    <w:rsid w:val="00636821"/>
    <w:rsid w:val="006424F3"/>
    <w:rsid w:val="006434F1"/>
    <w:rsid w:val="006447C3"/>
    <w:rsid w:val="00644F2D"/>
    <w:rsid w:val="00646793"/>
    <w:rsid w:val="006554A2"/>
    <w:rsid w:val="00665EFB"/>
    <w:rsid w:val="00680493"/>
    <w:rsid w:val="0068154F"/>
    <w:rsid w:val="00691BF4"/>
    <w:rsid w:val="006928B4"/>
    <w:rsid w:val="00695769"/>
    <w:rsid w:val="006A2C3A"/>
    <w:rsid w:val="006D717C"/>
    <w:rsid w:val="006E2E93"/>
    <w:rsid w:val="0070267D"/>
    <w:rsid w:val="00712D07"/>
    <w:rsid w:val="00725991"/>
    <w:rsid w:val="0072741B"/>
    <w:rsid w:val="0073113A"/>
    <w:rsid w:val="00734FEB"/>
    <w:rsid w:val="007424F2"/>
    <w:rsid w:val="007435C3"/>
    <w:rsid w:val="00743A13"/>
    <w:rsid w:val="00767674"/>
    <w:rsid w:val="00786DAF"/>
    <w:rsid w:val="0079226C"/>
    <w:rsid w:val="00793190"/>
    <w:rsid w:val="00796EAD"/>
    <w:rsid w:val="007B26E1"/>
    <w:rsid w:val="007C4602"/>
    <w:rsid w:val="007D1D36"/>
    <w:rsid w:val="007D5EB4"/>
    <w:rsid w:val="007E2426"/>
    <w:rsid w:val="007E46F3"/>
    <w:rsid w:val="007F166F"/>
    <w:rsid w:val="007F31CD"/>
    <w:rsid w:val="007F42E4"/>
    <w:rsid w:val="0082536C"/>
    <w:rsid w:val="0082716F"/>
    <w:rsid w:val="008512B8"/>
    <w:rsid w:val="0086084A"/>
    <w:rsid w:val="00860E1D"/>
    <w:rsid w:val="00864CDD"/>
    <w:rsid w:val="008769F5"/>
    <w:rsid w:val="008803B5"/>
    <w:rsid w:val="0088224E"/>
    <w:rsid w:val="00882A09"/>
    <w:rsid w:val="008919C0"/>
    <w:rsid w:val="00893DD2"/>
    <w:rsid w:val="00896204"/>
    <w:rsid w:val="008A01A0"/>
    <w:rsid w:val="008A27AD"/>
    <w:rsid w:val="008A29CE"/>
    <w:rsid w:val="008A7B4F"/>
    <w:rsid w:val="008B0A9C"/>
    <w:rsid w:val="008B2268"/>
    <w:rsid w:val="008B2C05"/>
    <w:rsid w:val="008B7180"/>
    <w:rsid w:val="008B7C7A"/>
    <w:rsid w:val="008D7493"/>
    <w:rsid w:val="008E589A"/>
    <w:rsid w:val="008F5130"/>
    <w:rsid w:val="00916226"/>
    <w:rsid w:val="009162D0"/>
    <w:rsid w:val="00941216"/>
    <w:rsid w:val="00953782"/>
    <w:rsid w:val="00953E06"/>
    <w:rsid w:val="0096184E"/>
    <w:rsid w:val="009633B5"/>
    <w:rsid w:val="00963A12"/>
    <w:rsid w:val="00965497"/>
    <w:rsid w:val="00981D29"/>
    <w:rsid w:val="009877A4"/>
    <w:rsid w:val="009974A3"/>
    <w:rsid w:val="009A5E81"/>
    <w:rsid w:val="009B7508"/>
    <w:rsid w:val="009D5A96"/>
    <w:rsid w:val="009F38CE"/>
    <w:rsid w:val="00A00AAF"/>
    <w:rsid w:val="00A0278D"/>
    <w:rsid w:val="00A2144F"/>
    <w:rsid w:val="00A46BE9"/>
    <w:rsid w:val="00A522B4"/>
    <w:rsid w:val="00A70945"/>
    <w:rsid w:val="00A72E13"/>
    <w:rsid w:val="00A76958"/>
    <w:rsid w:val="00A81E34"/>
    <w:rsid w:val="00AA60FF"/>
    <w:rsid w:val="00AB616E"/>
    <w:rsid w:val="00AD4BE8"/>
    <w:rsid w:val="00AD6E8D"/>
    <w:rsid w:val="00AF1A2D"/>
    <w:rsid w:val="00AF76F6"/>
    <w:rsid w:val="00B0516D"/>
    <w:rsid w:val="00B07FE4"/>
    <w:rsid w:val="00B336E6"/>
    <w:rsid w:val="00B632AB"/>
    <w:rsid w:val="00B679FB"/>
    <w:rsid w:val="00B80061"/>
    <w:rsid w:val="00B85DD2"/>
    <w:rsid w:val="00B94EB7"/>
    <w:rsid w:val="00B975FE"/>
    <w:rsid w:val="00BB0D06"/>
    <w:rsid w:val="00BB1148"/>
    <w:rsid w:val="00BB477F"/>
    <w:rsid w:val="00BB5BDE"/>
    <w:rsid w:val="00BB5C27"/>
    <w:rsid w:val="00BC2167"/>
    <w:rsid w:val="00BC38F5"/>
    <w:rsid w:val="00BC5516"/>
    <w:rsid w:val="00BC560B"/>
    <w:rsid w:val="00BC5E6E"/>
    <w:rsid w:val="00BC7D60"/>
    <w:rsid w:val="00BD01CC"/>
    <w:rsid w:val="00BE1FB8"/>
    <w:rsid w:val="00BE20B7"/>
    <w:rsid w:val="00BE3FA2"/>
    <w:rsid w:val="00BF633F"/>
    <w:rsid w:val="00BF6A07"/>
    <w:rsid w:val="00C06005"/>
    <w:rsid w:val="00C27637"/>
    <w:rsid w:val="00C40AB2"/>
    <w:rsid w:val="00C43622"/>
    <w:rsid w:val="00C45ED7"/>
    <w:rsid w:val="00C51529"/>
    <w:rsid w:val="00C52FB1"/>
    <w:rsid w:val="00C5608E"/>
    <w:rsid w:val="00C873A7"/>
    <w:rsid w:val="00CA1413"/>
    <w:rsid w:val="00CA2869"/>
    <w:rsid w:val="00CA36CF"/>
    <w:rsid w:val="00CA3B8C"/>
    <w:rsid w:val="00CA62D2"/>
    <w:rsid w:val="00CA73E7"/>
    <w:rsid w:val="00CC1B1D"/>
    <w:rsid w:val="00CD2771"/>
    <w:rsid w:val="00CD57F0"/>
    <w:rsid w:val="00CE0062"/>
    <w:rsid w:val="00CE4873"/>
    <w:rsid w:val="00CE4C25"/>
    <w:rsid w:val="00CE608B"/>
    <w:rsid w:val="00D04E30"/>
    <w:rsid w:val="00D31DE1"/>
    <w:rsid w:val="00D33EA3"/>
    <w:rsid w:val="00D37F46"/>
    <w:rsid w:val="00D512E5"/>
    <w:rsid w:val="00D61B38"/>
    <w:rsid w:val="00D61C64"/>
    <w:rsid w:val="00D81E13"/>
    <w:rsid w:val="00D861DB"/>
    <w:rsid w:val="00D90F6C"/>
    <w:rsid w:val="00DA199C"/>
    <w:rsid w:val="00DA5245"/>
    <w:rsid w:val="00DB229B"/>
    <w:rsid w:val="00DB3A6F"/>
    <w:rsid w:val="00DB40C6"/>
    <w:rsid w:val="00DC079C"/>
    <w:rsid w:val="00DC4CB3"/>
    <w:rsid w:val="00DC5262"/>
    <w:rsid w:val="00DC7DCB"/>
    <w:rsid w:val="00DD1E89"/>
    <w:rsid w:val="00DD24CD"/>
    <w:rsid w:val="00DF2F7A"/>
    <w:rsid w:val="00DF7CC2"/>
    <w:rsid w:val="00E03423"/>
    <w:rsid w:val="00E13E9E"/>
    <w:rsid w:val="00E13FB4"/>
    <w:rsid w:val="00E14296"/>
    <w:rsid w:val="00E22DBA"/>
    <w:rsid w:val="00E26862"/>
    <w:rsid w:val="00E3201D"/>
    <w:rsid w:val="00E34D91"/>
    <w:rsid w:val="00E365D5"/>
    <w:rsid w:val="00E57911"/>
    <w:rsid w:val="00E64940"/>
    <w:rsid w:val="00E7053C"/>
    <w:rsid w:val="00E723F9"/>
    <w:rsid w:val="00E778B5"/>
    <w:rsid w:val="00E87CD2"/>
    <w:rsid w:val="00E913ED"/>
    <w:rsid w:val="00EA1E49"/>
    <w:rsid w:val="00EA1F68"/>
    <w:rsid w:val="00EA60E4"/>
    <w:rsid w:val="00EA695E"/>
    <w:rsid w:val="00EA7DD1"/>
    <w:rsid w:val="00EB0CE1"/>
    <w:rsid w:val="00EB3208"/>
    <w:rsid w:val="00EC64A9"/>
    <w:rsid w:val="00EE5CF0"/>
    <w:rsid w:val="00EE68E6"/>
    <w:rsid w:val="00EF16AD"/>
    <w:rsid w:val="00F061A9"/>
    <w:rsid w:val="00F134FE"/>
    <w:rsid w:val="00F14BCF"/>
    <w:rsid w:val="00F23E9A"/>
    <w:rsid w:val="00F26FBC"/>
    <w:rsid w:val="00F31BC6"/>
    <w:rsid w:val="00F33B64"/>
    <w:rsid w:val="00F53580"/>
    <w:rsid w:val="00F55EE7"/>
    <w:rsid w:val="00F624D8"/>
    <w:rsid w:val="00F73AF8"/>
    <w:rsid w:val="00F8346B"/>
    <w:rsid w:val="00F84E1C"/>
    <w:rsid w:val="00F92C9B"/>
    <w:rsid w:val="00FA16C4"/>
    <w:rsid w:val="00FA3C34"/>
    <w:rsid w:val="00FA4638"/>
    <w:rsid w:val="00FB74D6"/>
    <w:rsid w:val="00FC0836"/>
    <w:rsid w:val="00FE15E6"/>
    <w:rsid w:val="00FE28BD"/>
    <w:rsid w:val="00FE3862"/>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63F"/>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51763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1763F"/>
    <w:pPr>
      <w:jc w:val="left"/>
    </w:pPr>
  </w:style>
  <w:style w:type="paragraph" w:styleId="a4">
    <w:name w:val="Balloon Text"/>
    <w:basedOn w:val="a"/>
    <w:link w:val="Char0"/>
    <w:uiPriority w:val="99"/>
    <w:semiHidden/>
    <w:unhideWhenUsed/>
    <w:qFormat/>
    <w:rsid w:val="0051763F"/>
    <w:rPr>
      <w:sz w:val="18"/>
      <w:szCs w:val="18"/>
    </w:rPr>
  </w:style>
  <w:style w:type="paragraph" w:styleId="a5">
    <w:name w:val="footer"/>
    <w:basedOn w:val="a"/>
    <w:link w:val="Char1"/>
    <w:uiPriority w:val="99"/>
    <w:unhideWhenUsed/>
    <w:qFormat/>
    <w:rsid w:val="0051763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1763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1763F"/>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51763F"/>
    <w:rPr>
      <w:b/>
      <w:bCs/>
    </w:rPr>
  </w:style>
  <w:style w:type="table" w:styleId="a9">
    <w:name w:val="Table Grid"/>
    <w:basedOn w:val="a1"/>
    <w:uiPriority w:val="59"/>
    <w:qFormat/>
    <w:rsid w:val="00517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51763F"/>
    <w:rPr>
      <w:color w:val="4C4C4C"/>
      <w:u w:val="none"/>
    </w:rPr>
  </w:style>
  <w:style w:type="character" w:styleId="ab">
    <w:name w:val="Emphasis"/>
    <w:basedOn w:val="a0"/>
    <w:uiPriority w:val="20"/>
    <w:qFormat/>
    <w:rsid w:val="0051763F"/>
  </w:style>
  <w:style w:type="character" w:styleId="HTML">
    <w:name w:val="HTML Acronym"/>
    <w:basedOn w:val="a0"/>
    <w:uiPriority w:val="99"/>
    <w:semiHidden/>
    <w:unhideWhenUsed/>
    <w:qFormat/>
    <w:rsid w:val="0051763F"/>
  </w:style>
  <w:style w:type="character" w:styleId="ac">
    <w:name w:val="Hyperlink"/>
    <w:basedOn w:val="a0"/>
    <w:uiPriority w:val="99"/>
    <w:unhideWhenUsed/>
    <w:qFormat/>
    <w:rsid w:val="0051763F"/>
    <w:rPr>
      <w:color w:val="0000FF"/>
      <w:u w:val="single"/>
    </w:rPr>
  </w:style>
  <w:style w:type="character" w:styleId="ad">
    <w:name w:val="annotation reference"/>
    <w:basedOn w:val="a0"/>
    <w:uiPriority w:val="99"/>
    <w:semiHidden/>
    <w:unhideWhenUsed/>
    <w:qFormat/>
    <w:rsid w:val="0051763F"/>
    <w:rPr>
      <w:sz w:val="21"/>
      <w:szCs w:val="21"/>
    </w:rPr>
  </w:style>
  <w:style w:type="character" w:customStyle="1" w:styleId="3Char">
    <w:name w:val="标题 3 Char"/>
    <w:basedOn w:val="a0"/>
    <w:link w:val="3"/>
    <w:uiPriority w:val="9"/>
    <w:qFormat/>
    <w:rsid w:val="0051763F"/>
    <w:rPr>
      <w:rFonts w:ascii="宋体" w:eastAsia="宋体" w:hAnsi="宋体" w:cs="宋体"/>
      <w:b/>
      <w:bCs/>
      <w:kern w:val="0"/>
      <w:sz w:val="27"/>
      <w:szCs w:val="27"/>
    </w:rPr>
  </w:style>
  <w:style w:type="character" w:customStyle="1" w:styleId="span4">
    <w:name w:val="span4"/>
    <w:basedOn w:val="a0"/>
    <w:qFormat/>
    <w:rsid w:val="0051763F"/>
  </w:style>
  <w:style w:type="character" w:customStyle="1" w:styleId="span01">
    <w:name w:val="span01"/>
    <w:basedOn w:val="a0"/>
    <w:qFormat/>
    <w:rsid w:val="0051763F"/>
    <w:rPr>
      <w:sz w:val="24"/>
      <w:szCs w:val="24"/>
    </w:rPr>
  </w:style>
  <w:style w:type="character" w:customStyle="1" w:styleId="icon2">
    <w:name w:val="icon2"/>
    <w:basedOn w:val="a0"/>
    <w:qFormat/>
    <w:rsid w:val="0051763F"/>
  </w:style>
  <w:style w:type="character" w:customStyle="1" w:styleId="fqrsyliswk">
    <w:name w:val="fqrsyl_iswk"/>
    <w:basedOn w:val="a0"/>
    <w:qFormat/>
    <w:rsid w:val="0051763F"/>
  </w:style>
  <w:style w:type="character" w:customStyle="1" w:styleId="span03">
    <w:name w:val="span03"/>
    <w:basedOn w:val="a0"/>
    <w:qFormat/>
    <w:rsid w:val="0051763F"/>
  </w:style>
  <w:style w:type="character" w:customStyle="1" w:styleId="span031">
    <w:name w:val="span031"/>
    <w:basedOn w:val="a0"/>
    <w:qFormat/>
    <w:rsid w:val="0051763F"/>
  </w:style>
  <w:style w:type="character" w:customStyle="1" w:styleId="fmwfsyiswk">
    <w:name w:val="fmwfsy_iswk"/>
    <w:basedOn w:val="a0"/>
    <w:qFormat/>
    <w:rsid w:val="0051763F"/>
  </w:style>
  <w:style w:type="character" w:customStyle="1" w:styleId="span1">
    <w:name w:val="span1"/>
    <w:basedOn w:val="a0"/>
    <w:qFormat/>
    <w:rsid w:val="0051763F"/>
  </w:style>
  <w:style w:type="character" w:customStyle="1" w:styleId="span2">
    <w:name w:val="span2"/>
    <w:basedOn w:val="a0"/>
    <w:qFormat/>
    <w:rsid w:val="0051763F"/>
  </w:style>
  <w:style w:type="character" w:customStyle="1" w:styleId="hover46">
    <w:name w:val="hover46"/>
    <w:basedOn w:val="a0"/>
    <w:qFormat/>
    <w:rsid w:val="0051763F"/>
    <w:rPr>
      <w:shd w:val="clear" w:color="auto" w:fill="FEF2E7"/>
    </w:rPr>
  </w:style>
  <w:style w:type="character" w:customStyle="1" w:styleId="hover47">
    <w:name w:val="hover47"/>
    <w:basedOn w:val="a0"/>
    <w:qFormat/>
    <w:rsid w:val="0051763F"/>
    <w:rPr>
      <w:color w:val="F88413"/>
    </w:rPr>
  </w:style>
  <w:style w:type="character" w:customStyle="1" w:styleId="span02">
    <w:name w:val="span02"/>
    <w:basedOn w:val="a0"/>
    <w:qFormat/>
    <w:rsid w:val="0051763F"/>
    <w:rPr>
      <w:sz w:val="24"/>
      <w:szCs w:val="24"/>
    </w:rPr>
  </w:style>
  <w:style w:type="character" w:customStyle="1" w:styleId="span021">
    <w:name w:val="span021"/>
    <w:basedOn w:val="a0"/>
    <w:qFormat/>
    <w:rsid w:val="0051763F"/>
  </w:style>
  <w:style w:type="character" w:customStyle="1" w:styleId="on26">
    <w:name w:val="on26"/>
    <w:basedOn w:val="a0"/>
    <w:qFormat/>
    <w:rsid w:val="0051763F"/>
    <w:rPr>
      <w:color w:val="F88413"/>
    </w:rPr>
  </w:style>
  <w:style w:type="character" w:customStyle="1" w:styleId="on27">
    <w:name w:val="on27"/>
    <w:basedOn w:val="a0"/>
    <w:qFormat/>
    <w:rsid w:val="0051763F"/>
  </w:style>
  <w:style w:type="character" w:customStyle="1" w:styleId="span3">
    <w:name w:val="span3"/>
    <w:basedOn w:val="a0"/>
    <w:qFormat/>
    <w:rsid w:val="0051763F"/>
  </w:style>
  <w:style w:type="character" w:customStyle="1" w:styleId="span011">
    <w:name w:val="span011"/>
    <w:basedOn w:val="a0"/>
    <w:qFormat/>
    <w:rsid w:val="0051763F"/>
  </w:style>
  <w:style w:type="character" w:customStyle="1" w:styleId="icon">
    <w:name w:val="icon"/>
    <w:basedOn w:val="a0"/>
    <w:qFormat/>
    <w:rsid w:val="0051763F"/>
  </w:style>
  <w:style w:type="character" w:customStyle="1" w:styleId="hover44">
    <w:name w:val="hover44"/>
    <w:basedOn w:val="a0"/>
    <w:qFormat/>
    <w:rsid w:val="0051763F"/>
    <w:rPr>
      <w:shd w:val="clear" w:color="auto" w:fill="FEF2E7"/>
    </w:rPr>
  </w:style>
  <w:style w:type="character" w:customStyle="1" w:styleId="hover45">
    <w:name w:val="hover45"/>
    <w:basedOn w:val="a0"/>
    <w:qFormat/>
    <w:rsid w:val="0051763F"/>
    <w:rPr>
      <w:color w:val="F88413"/>
    </w:rPr>
  </w:style>
  <w:style w:type="character" w:customStyle="1" w:styleId="on">
    <w:name w:val="on"/>
    <w:basedOn w:val="a0"/>
    <w:qFormat/>
    <w:rsid w:val="0051763F"/>
    <w:rPr>
      <w:color w:val="F88413"/>
    </w:rPr>
  </w:style>
  <w:style w:type="character" w:customStyle="1" w:styleId="on1">
    <w:name w:val="on1"/>
    <w:basedOn w:val="a0"/>
    <w:qFormat/>
    <w:rsid w:val="0051763F"/>
  </w:style>
  <w:style w:type="character" w:customStyle="1" w:styleId="Char2">
    <w:name w:val="页眉 Char"/>
    <w:basedOn w:val="a0"/>
    <w:link w:val="a6"/>
    <w:uiPriority w:val="99"/>
    <w:qFormat/>
    <w:rsid w:val="0051763F"/>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51763F"/>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51763F"/>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51763F"/>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51763F"/>
    <w:rPr>
      <w:rFonts w:asciiTheme="minorHAnsi" w:eastAsiaTheme="minorEastAsia" w:hAnsiTheme="minorHAnsi" w:cstheme="minorBidi"/>
      <w:kern w:val="2"/>
      <w:sz w:val="18"/>
      <w:szCs w:val="18"/>
    </w:rPr>
  </w:style>
  <w:style w:type="character" w:customStyle="1" w:styleId="hover43">
    <w:name w:val="hover43"/>
    <w:basedOn w:val="a0"/>
    <w:qFormat/>
    <w:rsid w:val="0051763F"/>
    <w:rPr>
      <w:color w:val="F88413"/>
    </w:rPr>
  </w:style>
  <w:style w:type="paragraph" w:customStyle="1" w:styleId="Default">
    <w:name w:val="Default"/>
    <w:qFormat/>
    <w:rsid w:val="0051763F"/>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51763F"/>
    <w:rPr>
      <w:color w:val="F88413"/>
    </w:rPr>
  </w:style>
  <w:style w:type="character" w:customStyle="1" w:styleId="hover1">
    <w:name w:val="hover1"/>
    <w:basedOn w:val="a0"/>
    <w:qFormat/>
    <w:rsid w:val="0051763F"/>
    <w:rPr>
      <w:shd w:val="clear" w:color="auto" w:fill="FEF2E7"/>
    </w:rPr>
  </w:style>
  <w:style w:type="character" w:customStyle="1" w:styleId="hover42">
    <w:name w:val="hover42"/>
    <w:basedOn w:val="a0"/>
    <w:qFormat/>
    <w:rsid w:val="0051763F"/>
    <w:rPr>
      <w:shd w:val="clear" w:color="auto" w:fill="FEF2E7"/>
    </w:rPr>
  </w:style>
  <w:style w:type="character" w:customStyle="1" w:styleId="on3">
    <w:name w:val="on3"/>
    <w:basedOn w:val="a0"/>
    <w:qFormat/>
    <w:rsid w:val="0051763F"/>
  </w:style>
  <w:style w:type="character" w:customStyle="1" w:styleId="on4">
    <w:name w:val="on4"/>
    <w:basedOn w:val="a0"/>
    <w:qFormat/>
    <w:rsid w:val="0051763F"/>
    <w:rPr>
      <w:color w:val="F88413"/>
    </w:rPr>
  </w:style>
  <w:style w:type="paragraph" w:styleId="ae">
    <w:name w:val="Revision"/>
    <w:hidden/>
    <w:uiPriority w:val="99"/>
    <w:semiHidden/>
    <w:rsid w:val="0055048C"/>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23485315">
      <w:bodyDiv w:val="1"/>
      <w:marLeft w:val="0"/>
      <w:marRight w:val="0"/>
      <w:marTop w:val="0"/>
      <w:marBottom w:val="0"/>
      <w:divBdr>
        <w:top w:val="none" w:sz="0" w:space="0" w:color="auto"/>
        <w:left w:val="none" w:sz="0" w:space="0" w:color="auto"/>
        <w:bottom w:val="none" w:sz="0" w:space="0" w:color="auto"/>
        <w:right w:val="none" w:sz="0" w:space="0" w:color="auto"/>
      </w:divBdr>
    </w:div>
    <w:div w:id="98723072">
      <w:bodyDiv w:val="1"/>
      <w:marLeft w:val="0"/>
      <w:marRight w:val="0"/>
      <w:marTop w:val="0"/>
      <w:marBottom w:val="0"/>
      <w:divBdr>
        <w:top w:val="none" w:sz="0" w:space="0" w:color="auto"/>
        <w:left w:val="none" w:sz="0" w:space="0" w:color="auto"/>
        <w:bottom w:val="none" w:sz="0" w:space="0" w:color="auto"/>
        <w:right w:val="none" w:sz="0" w:space="0" w:color="auto"/>
      </w:divBdr>
    </w:div>
    <w:div w:id="125048970">
      <w:bodyDiv w:val="1"/>
      <w:marLeft w:val="0"/>
      <w:marRight w:val="0"/>
      <w:marTop w:val="0"/>
      <w:marBottom w:val="0"/>
      <w:divBdr>
        <w:top w:val="none" w:sz="0" w:space="0" w:color="auto"/>
        <w:left w:val="none" w:sz="0" w:space="0" w:color="auto"/>
        <w:bottom w:val="none" w:sz="0" w:space="0" w:color="auto"/>
        <w:right w:val="none" w:sz="0" w:space="0" w:color="auto"/>
      </w:divBdr>
    </w:div>
    <w:div w:id="179199861">
      <w:bodyDiv w:val="1"/>
      <w:marLeft w:val="0"/>
      <w:marRight w:val="0"/>
      <w:marTop w:val="0"/>
      <w:marBottom w:val="0"/>
      <w:divBdr>
        <w:top w:val="none" w:sz="0" w:space="0" w:color="auto"/>
        <w:left w:val="none" w:sz="0" w:space="0" w:color="auto"/>
        <w:bottom w:val="none" w:sz="0" w:space="0" w:color="auto"/>
        <w:right w:val="none" w:sz="0" w:space="0" w:color="auto"/>
      </w:divBdr>
    </w:div>
    <w:div w:id="194345963">
      <w:bodyDiv w:val="1"/>
      <w:marLeft w:val="0"/>
      <w:marRight w:val="0"/>
      <w:marTop w:val="0"/>
      <w:marBottom w:val="0"/>
      <w:divBdr>
        <w:top w:val="none" w:sz="0" w:space="0" w:color="auto"/>
        <w:left w:val="none" w:sz="0" w:space="0" w:color="auto"/>
        <w:bottom w:val="none" w:sz="0" w:space="0" w:color="auto"/>
        <w:right w:val="none" w:sz="0" w:space="0" w:color="auto"/>
      </w:divBdr>
    </w:div>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68004578">
      <w:bodyDiv w:val="1"/>
      <w:marLeft w:val="0"/>
      <w:marRight w:val="0"/>
      <w:marTop w:val="0"/>
      <w:marBottom w:val="0"/>
      <w:divBdr>
        <w:top w:val="none" w:sz="0" w:space="0" w:color="auto"/>
        <w:left w:val="none" w:sz="0" w:space="0" w:color="auto"/>
        <w:bottom w:val="none" w:sz="0" w:space="0" w:color="auto"/>
        <w:right w:val="none" w:sz="0" w:space="0" w:color="auto"/>
      </w:divBdr>
    </w:div>
    <w:div w:id="288518239">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02148239">
      <w:bodyDiv w:val="1"/>
      <w:marLeft w:val="0"/>
      <w:marRight w:val="0"/>
      <w:marTop w:val="0"/>
      <w:marBottom w:val="0"/>
      <w:divBdr>
        <w:top w:val="none" w:sz="0" w:space="0" w:color="auto"/>
        <w:left w:val="none" w:sz="0" w:space="0" w:color="auto"/>
        <w:bottom w:val="none" w:sz="0" w:space="0" w:color="auto"/>
        <w:right w:val="none" w:sz="0" w:space="0" w:color="auto"/>
      </w:divBdr>
    </w:div>
    <w:div w:id="402261463">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459498103">
      <w:bodyDiv w:val="1"/>
      <w:marLeft w:val="0"/>
      <w:marRight w:val="0"/>
      <w:marTop w:val="0"/>
      <w:marBottom w:val="0"/>
      <w:divBdr>
        <w:top w:val="none" w:sz="0" w:space="0" w:color="auto"/>
        <w:left w:val="none" w:sz="0" w:space="0" w:color="auto"/>
        <w:bottom w:val="none" w:sz="0" w:space="0" w:color="auto"/>
        <w:right w:val="none" w:sz="0" w:space="0" w:color="auto"/>
      </w:divBdr>
    </w:div>
    <w:div w:id="476845420">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623847446">
      <w:bodyDiv w:val="1"/>
      <w:marLeft w:val="0"/>
      <w:marRight w:val="0"/>
      <w:marTop w:val="0"/>
      <w:marBottom w:val="0"/>
      <w:divBdr>
        <w:top w:val="none" w:sz="0" w:space="0" w:color="auto"/>
        <w:left w:val="none" w:sz="0" w:space="0" w:color="auto"/>
        <w:bottom w:val="none" w:sz="0" w:space="0" w:color="auto"/>
        <w:right w:val="none" w:sz="0" w:space="0" w:color="auto"/>
      </w:divBdr>
    </w:div>
    <w:div w:id="668681077">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741368416">
      <w:bodyDiv w:val="1"/>
      <w:marLeft w:val="0"/>
      <w:marRight w:val="0"/>
      <w:marTop w:val="0"/>
      <w:marBottom w:val="0"/>
      <w:divBdr>
        <w:top w:val="none" w:sz="0" w:space="0" w:color="auto"/>
        <w:left w:val="none" w:sz="0" w:space="0" w:color="auto"/>
        <w:bottom w:val="none" w:sz="0" w:space="0" w:color="auto"/>
        <w:right w:val="none" w:sz="0" w:space="0" w:color="auto"/>
      </w:divBdr>
    </w:div>
    <w:div w:id="832642566">
      <w:bodyDiv w:val="1"/>
      <w:marLeft w:val="0"/>
      <w:marRight w:val="0"/>
      <w:marTop w:val="0"/>
      <w:marBottom w:val="0"/>
      <w:divBdr>
        <w:top w:val="none" w:sz="0" w:space="0" w:color="auto"/>
        <w:left w:val="none" w:sz="0" w:space="0" w:color="auto"/>
        <w:bottom w:val="none" w:sz="0" w:space="0" w:color="auto"/>
        <w:right w:val="none" w:sz="0" w:space="0" w:color="auto"/>
      </w:divBdr>
    </w:div>
    <w:div w:id="846947527">
      <w:bodyDiv w:val="1"/>
      <w:marLeft w:val="0"/>
      <w:marRight w:val="0"/>
      <w:marTop w:val="0"/>
      <w:marBottom w:val="0"/>
      <w:divBdr>
        <w:top w:val="none" w:sz="0" w:space="0" w:color="auto"/>
        <w:left w:val="none" w:sz="0" w:space="0" w:color="auto"/>
        <w:bottom w:val="none" w:sz="0" w:space="0" w:color="auto"/>
        <w:right w:val="none" w:sz="0" w:space="0" w:color="auto"/>
      </w:divBdr>
    </w:div>
    <w:div w:id="934048388">
      <w:bodyDiv w:val="1"/>
      <w:marLeft w:val="0"/>
      <w:marRight w:val="0"/>
      <w:marTop w:val="0"/>
      <w:marBottom w:val="0"/>
      <w:divBdr>
        <w:top w:val="none" w:sz="0" w:space="0" w:color="auto"/>
        <w:left w:val="none" w:sz="0" w:space="0" w:color="auto"/>
        <w:bottom w:val="none" w:sz="0" w:space="0" w:color="auto"/>
        <w:right w:val="none" w:sz="0" w:space="0" w:color="auto"/>
      </w:divBdr>
    </w:div>
    <w:div w:id="955790172">
      <w:bodyDiv w:val="1"/>
      <w:marLeft w:val="0"/>
      <w:marRight w:val="0"/>
      <w:marTop w:val="0"/>
      <w:marBottom w:val="0"/>
      <w:divBdr>
        <w:top w:val="none" w:sz="0" w:space="0" w:color="auto"/>
        <w:left w:val="none" w:sz="0" w:space="0" w:color="auto"/>
        <w:bottom w:val="none" w:sz="0" w:space="0" w:color="auto"/>
        <w:right w:val="none" w:sz="0" w:space="0" w:color="auto"/>
      </w:divBdr>
    </w:div>
    <w:div w:id="957837528">
      <w:bodyDiv w:val="1"/>
      <w:marLeft w:val="0"/>
      <w:marRight w:val="0"/>
      <w:marTop w:val="0"/>
      <w:marBottom w:val="0"/>
      <w:divBdr>
        <w:top w:val="none" w:sz="0" w:space="0" w:color="auto"/>
        <w:left w:val="none" w:sz="0" w:space="0" w:color="auto"/>
        <w:bottom w:val="none" w:sz="0" w:space="0" w:color="auto"/>
        <w:right w:val="none" w:sz="0" w:space="0" w:color="auto"/>
      </w:divBdr>
    </w:div>
    <w:div w:id="1067387382">
      <w:bodyDiv w:val="1"/>
      <w:marLeft w:val="0"/>
      <w:marRight w:val="0"/>
      <w:marTop w:val="0"/>
      <w:marBottom w:val="0"/>
      <w:divBdr>
        <w:top w:val="none" w:sz="0" w:space="0" w:color="auto"/>
        <w:left w:val="none" w:sz="0" w:space="0" w:color="auto"/>
        <w:bottom w:val="none" w:sz="0" w:space="0" w:color="auto"/>
        <w:right w:val="none" w:sz="0" w:space="0" w:color="auto"/>
      </w:divBdr>
    </w:div>
    <w:div w:id="1095787020">
      <w:bodyDiv w:val="1"/>
      <w:marLeft w:val="0"/>
      <w:marRight w:val="0"/>
      <w:marTop w:val="0"/>
      <w:marBottom w:val="0"/>
      <w:divBdr>
        <w:top w:val="none" w:sz="0" w:space="0" w:color="auto"/>
        <w:left w:val="none" w:sz="0" w:space="0" w:color="auto"/>
        <w:bottom w:val="none" w:sz="0" w:space="0" w:color="auto"/>
        <w:right w:val="none" w:sz="0" w:space="0" w:color="auto"/>
      </w:divBdr>
    </w:div>
    <w:div w:id="1098789138">
      <w:bodyDiv w:val="1"/>
      <w:marLeft w:val="0"/>
      <w:marRight w:val="0"/>
      <w:marTop w:val="0"/>
      <w:marBottom w:val="0"/>
      <w:divBdr>
        <w:top w:val="none" w:sz="0" w:space="0" w:color="auto"/>
        <w:left w:val="none" w:sz="0" w:space="0" w:color="auto"/>
        <w:bottom w:val="none" w:sz="0" w:space="0" w:color="auto"/>
        <w:right w:val="none" w:sz="0" w:space="0" w:color="auto"/>
      </w:divBdr>
    </w:div>
    <w:div w:id="1149903259">
      <w:bodyDiv w:val="1"/>
      <w:marLeft w:val="0"/>
      <w:marRight w:val="0"/>
      <w:marTop w:val="0"/>
      <w:marBottom w:val="0"/>
      <w:divBdr>
        <w:top w:val="none" w:sz="0" w:space="0" w:color="auto"/>
        <w:left w:val="none" w:sz="0" w:space="0" w:color="auto"/>
        <w:bottom w:val="none" w:sz="0" w:space="0" w:color="auto"/>
        <w:right w:val="none" w:sz="0" w:space="0" w:color="auto"/>
      </w:divBdr>
    </w:div>
    <w:div w:id="1178539792">
      <w:bodyDiv w:val="1"/>
      <w:marLeft w:val="0"/>
      <w:marRight w:val="0"/>
      <w:marTop w:val="0"/>
      <w:marBottom w:val="0"/>
      <w:divBdr>
        <w:top w:val="none" w:sz="0" w:space="0" w:color="auto"/>
        <w:left w:val="none" w:sz="0" w:space="0" w:color="auto"/>
        <w:bottom w:val="none" w:sz="0" w:space="0" w:color="auto"/>
        <w:right w:val="none" w:sz="0" w:space="0" w:color="auto"/>
      </w:divBdr>
    </w:div>
    <w:div w:id="1233807826">
      <w:bodyDiv w:val="1"/>
      <w:marLeft w:val="0"/>
      <w:marRight w:val="0"/>
      <w:marTop w:val="0"/>
      <w:marBottom w:val="0"/>
      <w:divBdr>
        <w:top w:val="none" w:sz="0" w:space="0" w:color="auto"/>
        <w:left w:val="none" w:sz="0" w:space="0" w:color="auto"/>
        <w:bottom w:val="none" w:sz="0" w:space="0" w:color="auto"/>
        <w:right w:val="none" w:sz="0" w:space="0" w:color="auto"/>
      </w:divBdr>
    </w:div>
    <w:div w:id="1238325698">
      <w:bodyDiv w:val="1"/>
      <w:marLeft w:val="0"/>
      <w:marRight w:val="0"/>
      <w:marTop w:val="0"/>
      <w:marBottom w:val="0"/>
      <w:divBdr>
        <w:top w:val="none" w:sz="0" w:space="0" w:color="auto"/>
        <w:left w:val="none" w:sz="0" w:space="0" w:color="auto"/>
        <w:bottom w:val="none" w:sz="0" w:space="0" w:color="auto"/>
        <w:right w:val="none" w:sz="0" w:space="0" w:color="auto"/>
      </w:divBdr>
    </w:div>
    <w:div w:id="1376277478">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466435040">
      <w:bodyDiv w:val="1"/>
      <w:marLeft w:val="0"/>
      <w:marRight w:val="0"/>
      <w:marTop w:val="0"/>
      <w:marBottom w:val="0"/>
      <w:divBdr>
        <w:top w:val="none" w:sz="0" w:space="0" w:color="auto"/>
        <w:left w:val="none" w:sz="0" w:space="0" w:color="auto"/>
        <w:bottom w:val="none" w:sz="0" w:space="0" w:color="auto"/>
        <w:right w:val="none" w:sz="0" w:space="0" w:color="auto"/>
      </w:divBdr>
    </w:div>
    <w:div w:id="1475098045">
      <w:bodyDiv w:val="1"/>
      <w:marLeft w:val="0"/>
      <w:marRight w:val="0"/>
      <w:marTop w:val="0"/>
      <w:marBottom w:val="0"/>
      <w:divBdr>
        <w:top w:val="none" w:sz="0" w:space="0" w:color="auto"/>
        <w:left w:val="none" w:sz="0" w:space="0" w:color="auto"/>
        <w:bottom w:val="none" w:sz="0" w:space="0" w:color="auto"/>
        <w:right w:val="none" w:sz="0" w:space="0" w:color="auto"/>
      </w:divBdr>
    </w:div>
    <w:div w:id="1669476417">
      <w:bodyDiv w:val="1"/>
      <w:marLeft w:val="0"/>
      <w:marRight w:val="0"/>
      <w:marTop w:val="0"/>
      <w:marBottom w:val="0"/>
      <w:divBdr>
        <w:top w:val="none" w:sz="0" w:space="0" w:color="auto"/>
        <w:left w:val="none" w:sz="0" w:space="0" w:color="auto"/>
        <w:bottom w:val="none" w:sz="0" w:space="0" w:color="auto"/>
        <w:right w:val="none" w:sz="0" w:space="0" w:color="auto"/>
      </w:divBdr>
    </w:div>
    <w:div w:id="1720082301">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868326077">
      <w:bodyDiv w:val="1"/>
      <w:marLeft w:val="0"/>
      <w:marRight w:val="0"/>
      <w:marTop w:val="0"/>
      <w:marBottom w:val="0"/>
      <w:divBdr>
        <w:top w:val="none" w:sz="0" w:space="0" w:color="auto"/>
        <w:left w:val="none" w:sz="0" w:space="0" w:color="auto"/>
        <w:bottom w:val="none" w:sz="0" w:space="0" w:color="auto"/>
        <w:right w:val="none" w:sz="0" w:space="0" w:color="auto"/>
      </w:divBdr>
    </w:div>
    <w:div w:id="1891531468">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0524786">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068603516">
      <w:bodyDiv w:val="1"/>
      <w:marLeft w:val="0"/>
      <w:marRight w:val="0"/>
      <w:marTop w:val="0"/>
      <w:marBottom w:val="0"/>
      <w:divBdr>
        <w:top w:val="none" w:sz="0" w:space="0" w:color="auto"/>
        <w:left w:val="none" w:sz="0" w:space="0" w:color="auto"/>
        <w:bottom w:val="none" w:sz="0" w:space="0" w:color="auto"/>
        <w:right w:val="none" w:sz="0" w:space="0" w:color="auto"/>
      </w:divBdr>
    </w:div>
    <w:div w:id="2102022272">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A6E1E3-16CC-4230-9CA8-DA4075C8B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1289</Characters>
  <Application>Microsoft Office Word</Application>
  <DocSecurity>4</DocSecurity>
  <Lines>10</Lines>
  <Paragraphs>3</Paragraphs>
  <ScaleCrop>false</ScaleCrop>
  <Company>Microsoft</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2024-02-20T03:13:00Z</cp:lastPrinted>
  <dcterms:created xsi:type="dcterms:W3CDTF">2024-03-18T16:01:00Z</dcterms:created>
  <dcterms:modified xsi:type="dcterms:W3CDTF">2024-03-18T16:01:00Z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