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588F">
      <w:pPr>
        <w:spacing w:line="360" w:lineRule="auto"/>
        <w:jc w:val="center"/>
        <w:rPr>
          <w:rStyle w:val="da"/>
          <w:rFonts w:ascii="黑体" w:eastAsia="黑体" w:hAnsi="黑体" w:cs="黑体" w:hint="eastAsia"/>
          <w:b/>
          <w:bCs/>
          <w:sz w:val="30"/>
          <w:szCs w:val="30"/>
        </w:rPr>
      </w:pPr>
      <w:r>
        <w:rPr>
          <w:rStyle w:val="da"/>
          <w:rFonts w:ascii="黑体" w:eastAsia="黑体" w:hAnsi="黑体" w:cs="黑体" w:hint="eastAsia"/>
          <w:b/>
          <w:bCs/>
          <w:sz w:val="30"/>
          <w:szCs w:val="30"/>
        </w:rPr>
        <w:t>东吴基金管理有限公司关于旗下</w:t>
      </w:r>
      <w:r>
        <w:rPr>
          <w:rStyle w:val="da"/>
          <w:rFonts w:ascii="黑体" w:eastAsia="黑体" w:hAnsi="黑体" w:cs="黑体" w:hint="eastAsia"/>
          <w:b/>
          <w:bCs/>
          <w:sz w:val="30"/>
          <w:szCs w:val="30"/>
        </w:rPr>
        <w:t>部分</w:t>
      </w:r>
      <w:r>
        <w:rPr>
          <w:rStyle w:val="da"/>
          <w:rFonts w:ascii="黑体" w:eastAsia="黑体" w:hAnsi="黑体" w:cs="黑体" w:hint="eastAsia"/>
          <w:b/>
          <w:bCs/>
          <w:sz w:val="30"/>
          <w:szCs w:val="30"/>
        </w:rPr>
        <w:t>基金新增华夏银行股份有限公司</w:t>
      </w:r>
      <w:r>
        <w:rPr>
          <w:rStyle w:val="da"/>
          <w:rFonts w:ascii="黑体" w:eastAsia="黑体" w:hAnsi="黑体" w:cs="黑体" w:hint="eastAsia"/>
          <w:b/>
          <w:bCs/>
          <w:sz w:val="30"/>
          <w:szCs w:val="30"/>
        </w:rPr>
        <w:t>“华夏</w:t>
      </w:r>
      <w:r>
        <w:rPr>
          <w:rStyle w:val="da"/>
          <w:rFonts w:ascii="黑体" w:eastAsia="黑体" w:hAnsi="黑体" w:cs="黑体" w:hint="eastAsia"/>
          <w:b/>
          <w:bCs/>
          <w:sz w:val="30"/>
          <w:szCs w:val="30"/>
        </w:rPr>
        <w:t>e</w:t>
      </w:r>
      <w:r>
        <w:rPr>
          <w:rStyle w:val="da"/>
          <w:rFonts w:ascii="黑体" w:eastAsia="黑体" w:hAnsi="黑体" w:cs="黑体" w:hint="eastAsia"/>
          <w:b/>
          <w:bCs/>
          <w:sz w:val="30"/>
          <w:szCs w:val="30"/>
        </w:rPr>
        <w:t>家”同业平台</w:t>
      </w:r>
      <w:r>
        <w:rPr>
          <w:rStyle w:val="da"/>
          <w:rFonts w:ascii="黑体" w:eastAsia="黑体" w:hAnsi="黑体" w:cs="黑体" w:hint="eastAsia"/>
          <w:b/>
          <w:bCs/>
          <w:sz w:val="30"/>
          <w:szCs w:val="30"/>
        </w:rPr>
        <w:t>为代销机构</w:t>
      </w:r>
      <w:r>
        <w:rPr>
          <w:rStyle w:val="da"/>
          <w:rFonts w:ascii="黑体" w:eastAsia="黑体" w:hAnsi="黑体" w:cs="黑体" w:hint="eastAsia"/>
          <w:b/>
          <w:bCs/>
          <w:sz w:val="30"/>
          <w:szCs w:val="30"/>
        </w:rPr>
        <w:t>并开通</w:t>
      </w:r>
      <w:r>
        <w:rPr>
          <w:rStyle w:val="da"/>
          <w:rFonts w:ascii="黑体" w:eastAsia="黑体" w:hAnsi="黑体" w:cs="黑体" w:hint="eastAsia"/>
          <w:b/>
          <w:bCs/>
          <w:sz w:val="30"/>
          <w:szCs w:val="30"/>
        </w:rPr>
        <w:t>转换业务</w:t>
      </w:r>
      <w:r>
        <w:rPr>
          <w:rStyle w:val="da"/>
          <w:rFonts w:ascii="黑体" w:eastAsia="黑体" w:hAnsi="黑体" w:cs="黑体" w:hint="eastAsia"/>
          <w:b/>
          <w:bCs/>
          <w:sz w:val="30"/>
          <w:szCs w:val="30"/>
        </w:rPr>
        <w:t>的公告</w:t>
      </w:r>
    </w:p>
    <w:p w:rsidR="00000000" w:rsidRDefault="0096588F">
      <w:pPr>
        <w:spacing w:line="400" w:lineRule="exact"/>
        <w:jc w:val="center"/>
        <w:rPr>
          <w:rStyle w:val="da"/>
          <w:rFonts w:ascii="宋体" w:hAnsi="宋体" w:hint="eastAsia"/>
          <w:b/>
          <w:bCs/>
        </w:rPr>
      </w:pPr>
    </w:p>
    <w:p w:rsidR="00000000" w:rsidRDefault="0096588F">
      <w:pPr>
        <w:widowControl/>
        <w:spacing w:line="360" w:lineRule="auto"/>
        <w:ind w:firstLineChars="200" w:firstLine="420"/>
        <w:jc w:val="left"/>
        <w:rPr>
          <w:rFonts w:cs="宋体" w:hint="eastAsia"/>
          <w:kern w:val="0"/>
          <w:szCs w:val="21"/>
        </w:rPr>
      </w:pPr>
      <w:r>
        <w:rPr>
          <w:rFonts w:cs="宋体" w:hint="eastAsia"/>
          <w:kern w:val="0"/>
          <w:szCs w:val="21"/>
        </w:rPr>
        <w:t>一、新增</w:t>
      </w:r>
      <w:r>
        <w:rPr>
          <w:rFonts w:cs="宋体" w:hint="eastAsia"/>
          <w:kern w:val="0"/>
          <w:szCs w:val="21"/>
        </w:rPr>
        <w:t>华夏银行股份有限公司</w:t>
      </w:r>
      <w:r>
        <w:rPr>
          <w:rFonts w:cs="宋体" w:hint="eastAsia"/>
          <w:kern w:val="0"/>
          <w:szCs w:val="21"/>
        </w:rPr>
        <w:t>“华夏</w:t>
      </w:r>
      <w:r>
        <w:rPr>
          <w:rFonts w:cs="宋体" w:hint="eastAsia"/>
          <w:kern w:val="0"/>
          <w:szCs w:val="21"/>
        </w:rPr>
        <w:t>e</w:t>
      </w:r>
      <w:r>
        <w:rPr>
          <w:rFonts w:cs="宋体" w:hint="eastAsia"/>
          <w:kern w:val="0"/>
          <w:szCs w:val="21"/>
        </w:rPr>
        <w:t>家”同业平台</w:t>
      </w:r>
      <w:r>
        <w:rPr>
          <w:rFonts w:cs="宋体" w:hint="eastAsia"/>
          <w:kern w:val="0"/>
          <w:szCs w:val="21"/>
        </w:rPr>
        <w:t>为东吴基金管理有限公司旗下</w:t>
      </w:r>
      <w:r>
        <w:rPr>
          <w:rFonts w:cs="宋体" w:hint="eastAsia"/>
          <w:kern w:val="0"/>
          <w:szCs w:val="21"/>
        </w:rPr>
        <w:t>部分</w:t>
      </w:r>
      <w:r>
        <w:rPr>
          <w:rFonts w:cs="宋体" w:hint="eastAsia"/>
          <w:kern w:val="0"/>
          <w:szCs w:val="21"/>
        </w:rPr>
        <w:t>基金的代销机构</w:t>
      </w:r>
    </w:p>
    <w:p w:rsidR="00000000" w:rsidRDefault="0096588F">
      <w:pPr>
        <w:widowControl/>
        <w:spacing w:line="360" w:lineRule="auto"/>
        <w:ind w:firstLineChars="200" w:firstLine="420"/>
        <w:jc w:val="left"/>
        <w:rPr>
          <w:rFonts w:cs="宋体" w:hint="eastAsia"/>
          <w:kern w:val="0"/>
          <w:szCs w:val="21"/>
        </w:rPr>
      </w:pPr>
      <w:r>
        <w:rPr>
          <w:rFonts w:cs="宋体" w:hint="eastAsia"/>
          <w:kern w:val="0"/>
          <w:szCs w:val="21"/>
        </w:rPr>
        <w:t>根据东吴基金管理有限公司（以下简称“东吴基金”）与</w:t>
      </w:r>
      <w:r>
        <w:rPr>
          <w:rFonts w:cs="宋体" w:hint="eastAsia"/>
          <w:kern w:val="0"/>
          <w:szCs w:val="21"/>
        </w:rPr>
        <w:t>华夏银行股份有限公司</w:t>
      </w:r>
      <w:r>
        <w:rPr>
          <w:rFonts w:cs="宋体" w:hint="eastAsia"/>
          <w:kern w:val="0"/>
          <w:szCs w:val="21"/>
        </w:rPr>
        <w:t>（以下简称</w:t>
      </w:r>
      <w:r>
        <w:rPr>
          <w:rFonts w:cs="宋体" w:hint="eastAsia"/>
          <w:kern w:val="0"/>
          <w:szCs w:val="21"/>
        </w:rPr>
        <w:t>“</w:t>
      </w:r>
      <w:r>
        <w:rPr>
          <w:rFonts w:cs="宋体" w:hint="eastAsia"/>
          <w:kern w:val="0"/>
          <w:szCs w:val="21"/>
        </w:rPr>
        <w:t>华夏银行</w:t>
      </w:r>
      <w:r>
        <w:rPr>
          <w:rFonts w:cs="宋体" w:hint="eastAsia"/>
          <w:kern w:val="0"/>
          <w:szCs w:val="21"/>
        </w:rPr>
        <w:t>”</w:t>
      </w:r>
      <w:r>
        <w:rPr>
          <w:rFonts w:cs="宋体" w:hint="eastAsia"/>
          <w:kern w:val="0"/>
          <w:szCs w:val="21"/>
        </w:rPr>
        <w:t>）签署的开放式基金代销协议，自</w:t>
      </w:r>
      <w:r>
        <w:rPr>
          <w:rFonts w:cs="宋体" w:hint="eastAsia"/>
          <w:kern w:val="0"/>
          <w:szCs w:val="21"/>
        </w:rPr>
        <w:t>2024</w:t>
      </w:r>
      <w:r>
        <w:rPr>
          <w:rFonts w:cs="宋体" w:hint="eastAsia"/>
          <w:kern w:val="0"/>
          <w:szCs w:val="21"/>
        </w:rPr>
        <w:t>年</w:t>
      </w:r>
      <w:r>
        <w:rPr>
          <w:rFonts w:cs="宋体" w:hint="eastAsia"/>
          <w:kern w:val="0"/>
          <w:szCs w:val="21"/>
        </w:rPr>
        <w:t>3</w:t>
      </w:r>
      <w:r>
        <w:rPr>
          <w:rFonts w:cs="宋体" w:hint="eastAsia"/>
          <w:kern w:val="0"/>
          <w:szCs w:val="21"/>
        </w:rPr>
        <w:t>月</w:t>
      </w:r>
      <w:r>
        <w:rPr>
          <w:rFonts w:cs="宋体" w:hint="eastAsia"/>
          <w:kern w:val="0"/>
          <w:szCs w:val="21"/>
        </w:rPr>
        <w:t>21</w:t>
      </w:r>
      <w:r>
        <w:rPr>
          <w:rFonts w:cs="宋体" w:hint="eastAsia"/>
          <w:kern w:val="0"/>
          <w:szCs w:val="21"/>
        </w:rPr>
        <w:t>日</w:t>
      </w:r>
      <w:r>
        <w:rPr>
          <w:rFonts w:cs="宋体" w:hint="eastAsia"/>
          <w:kern w:val="0"/>
          <w:szCs w:val="21"/>
        </w:rPr>
        <w:t>起通过</w:t>
      </w:r>
      <w:r>
        <w:rPr>
          <w:rFonts w:cs="宋体" w:hint="eastAsia"/>
          <w:kern w:val="0"/>
          <w:szCs w:val="21"/>
        </w:rPr>
        <w:t>华夏银行“华夏</w:t>
      </w:r>
      <w:r>
        <w:rPr>
          <w:rFonts w:cs="宋体" w:hint="eastAsia"/>
          <w:kern w:val="0"/>
          <w:szCs w:val="21"/>
        </w:rPr>
        <w:t>e</w:t>
      </w:r>
      <w:r>
        <w:rPr>
          <w:rFonts w:cs="宋体" w:hint="eastAsia"/>
          <w:kern w:val="0"/>
          <w:szCs w:val="21"/>
        </w:rPr>
        <w:t>家”同业平台</w:t>
      </w:r>
      <w:r>
        <w:rPr>
          <w:rFonts w:cs="宋体" w:hint="eastAsia"/>
          <w:kern w:val="0"/>
          <w:szCs w:val="21"/>
        </w:rPr>
        <w:t>接受投资者办理</w:t>
      </w:r>
      <w:r>
        <w:rPr>
          <w:rFonts w:cs="宋体" w:hint="eastAsia"/>
          <w:szCs w:val="21"/>
        </w:rPr>
        <w:t>东吴基金旗下管理的</w:t>
      </w:r>
      <w:r>
        <w:rPr>
          <w:rFonts w:cs="宋体" w:hint="eastAsia"/>
          <w:szCs w:val="21"/>
        </w:rPr>
        <w:t>部分</w:t>
      </w:r>
      <w:r>
        <w:rPr>
          <w:rFonts w:cs="宋体" w:hint="eastAsia"/>
          <w:szCs w:val="21"/>
        </w:rPr>
        <w:t>证券投资基金</w:t>
      </w:r>
      <w:r>
        <w:rPr>
          <w:rFonts w:cs="宋体" w:hint="eastAsia"/>
          <w:kern w:val="0"/>
          <w:szCs w:val="21"/>
        </w:rPr>
        <w:t>的开户、申购和赎回等业务，具体包括：</w:t>
      </w:r>
      <w:r>
        <w:rPr>
          <w:rFonts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96588F">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序号</w:t>
            </w:r>
          </w:p>
        </w:tc>
        <w:tc>
          <w:tcPr>
            <w:tcW w:w="5940" w:type="dxa"/>
          </w:tcPr>
          <w:p w:rsidR="00000000" w:rsidRDefault="0096588F">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基金名称</w:t>
            </w:r>
          </w:p>
        </w:tc>
        <w:tc>
          <w:tcPr>
            <w:tcW w:w="1602" w:type="dxa"/>
          </w:tcPr>
          <w:p w:rsidR="00000000" w:rsidRDefault="0096588F">
            <w:pPr>
              <w:widowControl/>
              <w:spacing w:line="360" w:lineRule="auto"/>
              <w:jc w:val="center"/>
              <w:rPr>
                <w:rFonts w:ascii="Times New Roman" w:hAnsi="Times New Roman" w:cs="宋体" w:hint="eastAsia"/>
                <w:b/>
                <w:szCs w:val="21"/>
              </w:rPr>
            </w:pPr>
            <w:r>
              <w:rPr>
                <w:rFonts w:ascii="Times New Roman" w:hAnsi="Times New Roman" w:cs="宋体" w:hint="eastAsia"/>
                <w:b/>
                <w:szCs w:val="21"/>
              </w:rPr>
              <w:t>基金代码</w:t>
            </w:r>
          </w:p>
        </w:tc>
      </w:tr>
      <w:tr w:rsidR="00000000">
        <w:trPr>
          <w:trHeight w:val="385"/>
          <w:jc w:val="center"/>
        </w:trPr>
        <w:tc>
          <w:tcPr>
            <w:tcW w:w="676" w:type="dxa"/>
          </w:tcPr>
          <w:p w:rsidR="00000000" w:rsidRDefault="0096588F">
            <w:pPr>
              <w:widowControl/>
              <w:numPr>
                <w:ilvl w:val="0"/>
                <w:numId w:val="2"/>
              </w:numPr>
              <w:spacing w:line="360" w:lineRule="auto"/>
              <w:jc w:val="center"/>
              <w:rPr>
                <w:rFonts w:ascii="Times New Roman" w:hAnsi="Times New Roman" w:cs="宋体" w:hint="eastAsia"/>
                <w:szCs w:val="21"/>
              </w:rPr>
            </w:pPr>
          </w:p>
        </w:tc>
        <w:tc>
          <w:tcPr>
            <w:tcW w:w="5940" w:type="dxa"/>
            <w:vAlign w:val="center"/>
          </w:tcPr>
          <w:p w:rsidR="00000000" w:rsidRDefault="0096588F">
            <w:pPr>
              <w:widowControl/>
              <w:spacing w:line="360" w:lineRule="auto"/>
              <w:textAlignment w:val="center"/>
              <w:rPr>
                <w:rFonts w:ascii="Times New Roman" w:hAnsi="Times New Roman" w:cs="宋体" w:hint="eastAsia"/>
                <w:szCs w:val="21"/>
                <w:lang/>
              </w:rPr>
            </w:pPr>
            <w:r>
              <w:rPr>
                <w:rFonts w:ascii="Times New Roman" w:hAnsi="Times New Roman" w:cs="宋体" w:hint="eastAsia"/>
                <w:szCs w:val="21"/>
                <w:lang/>
              </w:rPr>
              <w:t>东吴货币市</w:t>
            </w:r>
            <w:r>
              <w:rPr>
                <w:rFonts w:ascii="Times New Roman" w:hAnsi="Times New Roman" w:cs="宋体" w:hint="eastAsia"/>
                <w:szCs w:val="21"/>
                <w:lang/>
              </w:rPr>
              <w:t>场证券投资基金</w:t>
            </w:r>
            <w:r>
              <w:rPr>
                <w:rFonts w:ascii="Times New Roman" w:hAnsi="Times New Roman" w:cs="宋体" w:hint="eastAsia"/>
                <w:szCs w:val="21"/>
                <w:lang/>
              </w:rPr>
              <w:t>A</w:t>
            </w:r>
            <w:r>
              <w:rPr>
                <w:rFonts w:ascii="Times New Roman" w:hAnsi="Times New Roman" w:cs="宋体" w:hint="eastAsia"/>
                <w:szCs w:val="21"/>
                <w:lang/>
              </w:rPr>
              <w:t>级</w:t>
            </w:r>
            <w:r>
              <w:rPr>
                <w:rFonts w:ascii="Times New Roman" w:hAnsi="Times New Roman" w:cs="宋体" w:hint="eastAsia"/>
                <w:szCs w:val="21"/>
                <w:lang/>
              </w:rPr>
              <w:t>/</w:t>
            </w:r>
            <w:r>
              <w:rPr>
                <w:rFonts w:ascii="Times New Roman" w:hAnsi="Times New Roman" w:cs="宋体" w:hint="eastAsia"/>
                <w:szCs w:val="21"/>
                <w:lang/>
              </w:rPr>
              <w:t>B</w:t>
            </w:r>
            <w:r>
              <w:rPr>
                <w:rFonts w:ascii="Times New Roman" w:hAnsi="Times New Roman" w:cs="宋体" w:hint="eastAsia"/>
                <w:szCs w:val="21"/>
                <w:lang/>
              </w:rPr>
              <w:t>级</w:t>
            </w:r>
          </w:p>
        </w:tc>
        <w:tc>
          <w:tcPr>
            <w:tcW w:w="1602" w:type="dxa"/>
            <w:vAlign w:val="center"/>
          </w:tcPr>
          <w:p w:rsidR="00000000" w:rsidRDefault="0096588F">
            <w:pPr>
              <w:widowControl/>
              <w:spacing w:line="360" w:lineRule="auto"/>
              <w:jc w:val="left"/>
              <w:rPr>
                <w:rFonts w:ascii="Times New Roman" w:hAnsi="Times New Roman" w:cs="宋体"/>
                <w:color w:val="000000"/>
                <w:szCs w:val="21"/>
              </w:rPr>
            </w:pPr>
            <w:r>
              <w:rPr>
                <w:rFonts w:ascii="Times New Roman" w:hAnsi="Times New Roman" w:cs="宋体" w:hint="eastAsia"/>
                <w:szCs w:val="21"/>
                <w:lang/>
              </w:rPr>
              <w:t>583001</w:t>
            </w:r>
            <w:r>
              <w:rPr>
                <w:rFonts w:ascii="Times New Roman" w:hAnsi="Times New Roman" w:cs="宋体" w:hint="eastAsia"/>
                <w:szCs w:val="21"/>
                <w:lang/>
              </w:rPr>
              <w:t>/</w:t>
            </w:r>
            <w:r>
              <w:rPr>
                <w:rFonts w:ascii="Times New Roman" w:hAnsi="Times New Roman" w:cs="宋体" w:hint="eastAsia"/>
                <w:szCs w:val="21"/>
                <w:lang/>
              </w:rPr>
              <w:t>583101</w:t>
            </w:r>
          </w:p>
        </w:tc>
      </w:tr>
      <w:tr w:rsidR="00000000">
        <w:trPr>
          <w:trHeight w:val="385"/>
          <w:jc w:val="center"/>
        </w:trPr>
        <w:tc>
          <w:tcPr>
            <w:tcW w:w="676" w:type="dxa"/>
          </w:tcPr>
          <w:p w:rsidR="00000000" w:rsidRDefault="0096588F">
            <w:pPr>
              <w:widowControl/>
              <w:numPr>
                <w:ilvl w:val="0"/>
                <w:numId w:val="2"/>
              </w:numPr>
              <w:spacing w:line="360" w:lineRule="auto"/>
              <w:jc w:val="center"/>
              <w:rPr>
                <w:rFonts w:ascii="Times New Roman" w:hAnsi="Times New Roman" w:cs="宋体" w:hint="eastAsia"/>
                <w:szCs w:val="21"/>
              </w:rPr>
            </w:pPr>
          </w:p>
        </w:tc>
        <w:tc>
          <w:tcPr>
            <w:tcW w:w="5940" w:type="dxa"/>
            <w:vAlign w:val="center"/>
          </w:tcPr>
          <w:p w:rsidR="00000000" w:rsidRDefault="0096588F">
            <w:pPr>
              <w:widowControl/>
              <w:textAlignment w:val="center"/>
              <w:rPr>
                <w:rFonts w:ascii="Times New Roman" w:hAnsi="Times New Roman" w:cs="宋体" w:hint="eastAsia"/>
                <w:szCs w:val="21"/>
                <w:lang/>
              </w:rPr>
            </w:pPr>
            <w:r>
              <w:rPr>
                <w:rFonts w:ascii="Times New Roman" w:hAnsi="Times New Roman" w:cs="宋体" w:hint="eastAsia"/>
                <w:szCs w:val="21"/>
                <w:lang/>
              </w:rPr>
              <w:t>东吴增鑫宝货币市场基金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/B</w:t>
            </w:r>
            <w:r>
              <w:rPr>
                <w:rFonts w:ascii="Times New Roman" w:hAnsi="Times New Roman" w:cs="宋体" w:hint="eastAsia"/>
                <w:szCs w:val="21"/>
                <w:lang/>
              </w:rPr>
              <w:t>类</w:t>
            </w:r>
          </w:p>
        </w:tc>
        <w:tc>
          <w:tcPr>
            <w:tcW w:w="1602" w:type="dxa"/>
            <w:vAlign w:val="center"/>
          </w:tcPr>
          <w:p w:rsidR="00000000" w:rsidRDefault="0096588F">
            <w:pPr>
              <w:widowControl/>
              <w:spacing w:line="400" w:lineRule="exact"/>
              <w:jc w:val="left"/>
              <w:rPr>
                <w:rFonts w:ascii="Times New Roman" w:hAnsi="Times New Roman" w:cs="宋体" w:hint="eastAsia"/>
                <w:szCs w:val="21"/>
                <w:lang/>
              </w:rPr>
            </w:pPr>
            <w:r>
              <w:rPr>
                <w:rFonts w:ascii="Times New Roman" w:hAnsi="Times New Roman" w:cs="宋体" w:hint="eastAsia"/>
                <w:szCs w:val="21"/>
                <w:lang/>
              </w:rPr>
              <w:t>003588/003589</w:t>
            </w:r>
          </w:p>
        </w:tc>
      </w:tr>
      <w:tr w:rsidR="00000000">
        <w:trPr>
          <w:trHeight w:val="385"/>
          <w:jc w:val="center"/>
        </w:trPr>
        <w:tc>
          <w:tcPr>
            <w:tcW w:w="676" w:type="dxa"/>
          </w:tcPr>
          <w:p w:rsidR="00000000" w:rsidRDefault="0096588F">
            <w:pPr>
              <w:widowControl/>
              <w:numPr>
                <w:ilvl w:val="0"/>
                <w:numId w:val="2"/>
              </w:numPr>
              <w:spacing w:line="360" w:lineRule="auto"/>
              <w:jc w:val="center"/>
              <w:rPr>
                <w:rFonts w:ascii="Times New Roman" w:hAnsi="Times New Roman" w:cs="宋体" w:hint="eastAsia"/>
                <w:szCs w:val="21"/>
              </w:rPr>
            </w:pPr>
          </w:p>
        </w:tc>
        <w:tc>
          <w:tcPr>
            <w:tcW w:w="5940" w:type="dxa"/>
            <w:vAlign w:val="center"/>
          </w:tcPr>
          <w:p w:rsidR="00000000" w:rsidRDefault="0096588F">
            <w:pPr>
              <w:widowControl/>
              <w:textAlignment w:val="center"/>
              <w:rPr>
                <w:rFonts w:ascii="Times New Roman" w:hAnsi="Times New Roman" w:cs="宋体" w:hint="eastAsia"/>
                <w:szCs w:val="21"/>
                <w:lang/>
              </w:rPr>
            </w:pPr>
            <w:r>
              <w:rPr>
                <w:rFonts w:ascii="Times New Roman" w:hAnsi="Times New Roman" w:cs="宋体" w:hint="eastAsia"/>
                <w:szCs w:val="21"/>
                <w:lang/>
              </w:rPr>
              <w:t>东吴鼎泰纯债债券型证券投资基金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602" w:type="dxa"/>
            <w:vAlign w:val="center"/>
          </w:tcPr>
          <w:p w:rsidR="00000000" w:rsidRDefault="0096588F">
            <w:pPr>
              <w:widowControl/>
              <w:spacing w:line="400" w:lineRule="exact"/>
              <w:jc w:val="left"/>
              <w:rPr>
                <w:rFonts w:ascii="Times New Roman" w:hAnsi="Times New Roman" w:cs="宋体" w:hint="eastAsia"/>
                <w:szCs w:val="21"/>
                <w:lang/>
              </w:rPr>
            </w:pPr>
            <w:r>
              <w:rPr>
                <w:rFonts w:ascii="Times New Roman" w:hAnsi="Times New Roman" w:cs="宋体" w:hint="eastAsia"/>
                <w:szCs w:val="21"/>
                <w:lang/>
              </w:rPr>
              <w:t>006026/014570</w:t>
            </w:r>
          </w:p>
        </w:tc>
      </w:tr>
      <w:tr w:rsidR="00000000">
        <w:trPr>
          <w:trHeight w:val="385"/>
          <w:jc w:val="center"/>
        </w:trPr>
        <w:tc>
          <w:tcPr>
            <w:tcW w:w="676" w:type="dxa"/>
          </w:tcPr>
          <w:p w:rsidR="00000000" w:rsidRDefault="0096588F">
            <w:pPr>
              <w:widowControl/>
              <w:numPr>
                <w:ilvl w:val="0"/>
                <w:numId w:val="2"/>
              </w:numPr>
              <w:spacing w:line="360" w:lineRule="auto"/>
              <w:jc w:val="center"/>
              <w:rPr>
                <w:rFonts w:ascii="Times New Roman" w:hAnsi="Times New Roman" w:cs="宋体" w:hint="eastAsia"/>
                <w:szCs w:val="21"/>
              </w:rPr>
            </w:pPr>
          </w:p>
        </w:tc>
        <w:tc>
          <w:tcPr>
            <w:tcW w:w="5940" w:type="dxa"/>
            <w:vAlign w:val="center"/>
          </w:tcPr>
          <w:p w:rsidR="00000000" w:rsidRDefault="0096588F">
            <w:pPr>
              <w:widowControl/>
              <w:textAlignment w:val="center"/>
              <w:rPr>
                <w:rFonts w:ascii="Times New Roman" w:hAnsi="Times New Roman" w:cs="宋体" w:hint="eastAsia"/>
                <w:szCs w:val="21"/>
                <w:lang/>
              </w:rPr>
            </w:pPr>
            <w:r>
              <w:rPr>
                <w:rFonts w:ascii="Times New Roman" w:hAnsi="Times New Roman" w:cs="宋体" w:hint="eastAsia"/>
                <w:szCs w:val="21"/>
                <w:lang/>
              </w:rPr>
              <w:t>东吴月月享</w:t>
            </w:r>
            <w:r>
              <w:rPr>
                <w:rFonts w:ascii="Times New Roman" w:hAnsi="Times New Roman" w:cs="宋体" w:hint="eastAsia"/>
                <w:szCs w:val="21"/>
                <w:lang/>
              </w:rPr>
              <w:t>30</w:t>
            </w:r>
            <w:r>
              <w:rPr>
                <w:rFonts w:ascii="Times New Roman" w:hAnsi="Times New Roman" w:cs="宋体" w:hint="eastAsia"/>
                <w:szCs w:val="21"/>
                <w:lang/>
              </w:rPr>
              <w:t>天持有期短债债券型证券投资基金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602" w:type="dxa"/>
            <w:vAlign w:val="center"/>
          </w:tcPr>
          <w:p w:rsidR="00000000" w:rsidRDefault="0096588F">
            <w:pPr>
              <w:widowControl/>
              <w:spacing w:line="400" w:lineRule="exact"/>
              <w:jc w:val="left"/>
              <w:rPr>
                <w:rFonts w:ascii="Times New Roman" w:hAnsi="Times New Roman" w:cs="宋体" w:hint="eastAsia"/>
                <w:szCs w:val="21"/>
                <w:lang/>
              </w:rPr>
            </w:pPr>
            <w:r>
              <w:rPr>
                <w:rFonts w:ascii="Times New Roman" w:hAnsi="Times New Roman" w:cs="宋体" w:hint="eastAsia"/>
                <w:szCs w:val="21"/>
                <w:lang/>
              </w:rPr>
              <w:t>015426/015427</w:t>
            </w:r>
          </w:p>
        </w:tc>
      </w:tr>
      <w:tr w:rsidR="00000000">
        <w:trPr>
          <w:trHeight w:val="385"/>
          <w:jc w:val="center"/>
        </w:trPr>
        <w:tc>
          <w:tcPr>
            <w:tcW w:w="676" w:type="dxa"/>
          </w:tcPr>
          <w:p w:rsidR="00000000" w:rsidRDefault="0096588F">
            <w:pPr>
              <w:widowControl/>
              <w:numPr>
                <w:ilvl w:val="0"/>
                <w:numId w:val="2"/>
              </w:numPr>
              <w:spacing w:line="360" w:lineRule="auto"/>
              <w:jc w:val="center"/>
              <w:rPr>
                <w:rFonts w:ascii="Times New Roman" w:hAnsi="Times New Roman" w:cs="宋体" w:hint="eastAsia"/>
                <w:szCs w:val="21"/>
              </w:rPr>
            </w:pPr>
          </w:p>
        </w:tc>
        <w:tc>
          <w:tcPr>
            <w:tcW w:w="5940" w:type="dxa"/>
            <w:vAlign w:val="center"/>
          </w:tcPr>
          <w:p w:rsidR="00000000" w:rsidRDefault="0096588F">
            <w:pPr>
              <w:widowControl/>
              <w:textAlignment w:val="center"/>
              <w:rPr>
                <w:rFonts w:ascii="Times New Roman" w:hAnsi="Times New Roman" w:cs="宋体" w:hint="eastAsia"/>
                <w:szCs w:val="21"/>
                <w:lang/>
              </w:rPr>
            </w:pPr>
            <w:r>
              <w:rPr>
                <w:rFonts w:ascii="Times New Roman" w:hAnsi="Times New Roman" w:cs="宋体" w:hint="eastAsia"/>
                <w:szCs w:val="21"/>
                <w:lang/>
              </w:rPr>
              <w:t>东吴中证同业存单</w:t>
            </w:r>
            <w:r>
              <w:rPr>
                <w:rFonts w:ascii="Times New Roman" w:hAnsi="Times New Roman" w:cs="宋体" w:hint="eastAsia"/>
                <w:szCs w:val="21"/>
                <w:lang/>
              </w:rPr>
              <w:t>AAA</w:t>
            </w:r>
            <w:r>
              <w:rPr>
                <w:rFonts w:ascii="Times New Roman" w:hAnsi="Times New Roman" w:cs="宋体" w:hint="eastAsia"/>
                <w:szCs w:val="21"/>
                <w:lang/>
              </w:rPr>
              <w:t>指数</w:t>
            </w:r>
            <w:r>
              <w:rPr>
                <w:rFonts w:ascii="Times New Roman" w:hAnsi="Times New Roman" w:cs="宋体" w:hint="eastAsia"/>
                <w:szCs w:val="21"/>
                <w:lang/>
              </w:rPr>
              <w:t>7</w:t>
            </w:r>
            <w:r>
              <w:rPr>
                <w:rFonts w:ascii="Times New Roman" w:hAnsi="Times New Roman" w:cs="宋体" w:hint="eastAsia"/>
                <w:szCs w:val="21"/>
                <w:lang/>
              </w:rPr>
              <w:t>天持有期证券投资基金</w:t>
            </w:r>
          </w:p>
        </w:tc>
        <w:tc>
          <w:tcPr>
            <w:tcW w:w="1602" w:type="dxa"/>
            <w:vAlign w:val="center"/>
          </w:tcPr>
          <w:p w:rsidR="00000000" w:rsidRDefault="0096588F">
            <w:pPr>
              <w:widowControl/>
              <w:spacing w:line="400" w:lineRule="exact"/>
              <w:jc w:val="left"/>
              <w:rPr>
                <w:rFonts w:ascii="Times New Roman" w:hAnsi="Times New Roman" w:cs="宋体" w:hint="eastAsia"/>
                <w:szCs w:val="21"/>
                <w:lang/>
              </w:rPr>
            </w:pPr>
            <w:r>
              <w:rPr>
                <w:rFonts w:ascii="Times New Roman" w:hAnsi="Times New Roman" w:cs="宋体" w:hint="eastAsia"/>
                <w:szCs w:val="21"/>
                <w:lang/>
              </w:rPr>
              <w:t>016758</w:t>
            </w:r>
          </w:p>
        </w:tc>
      </w:tr>
    </w:tbl>
    <w:p w:rsidR="00000000" w:rsidRDefault="0096588F">
      <w:pPr>
        <w:widowControl/>
        <w:spacing w:line="360" w:lineRule="auto"/>
        <w:ind w:firstLineChars="200" w:firstLine="420"/>
        <w:jc w:val="left"/>
        <w:rPr>
          <w:rFonts w:cs="宋体" w:hint="eastAsia"/>
          <w:szCs w:val="21"/>
        </w:rPr>
      </w:pPr>
      <w:r>
        <w:rPr>
          <w:rFonts w:cs="宋体" w:hint="eastAsia"/>
          <w:szCs w:val="21"/>
        </w:rPr>
        <w:t>具体业务办理时间为：全天</w:t>
      </w:r>
      <w:r>
        <w:rPr>
          <w:rFonts w:cs="宋体" w:hint="eastAsia"/>
          <w:szCs w:val="21"/>
        </w:rPr>
        <w:t>24</w:t>
      </w:r>
      <w:r>
        <w:rPr>
          <w:rFonts w:cs="宋体" w:hint="eastAsia"/>
          <w:szCs w:val="21"/>
        </w:rPr>
        <w:t>小时接受委托，每个交易日</w:t>
      </w:r>
      <w:r>
        <w:rPr>
          <w:rFonts w:cs="宋体" w:hint="eastAsia"/>
          <w:szCs w:val="21"/>
        </w:rPr>
        <w:t>15</w:t>
      </w:r>
      <w:r>
        <w:rPr>
          <w:rFonts w:cs="宋体" w:hint="eastAsia"/>
          <w:szCs w:val="21"/>
        </w:rPr>
        <w:t>：</w:t>
      </w:r>
      <w:r>
        <w:rPr>
          <w:rFonts w:cs="宋体" w:hint="eastAsia"/>
          <w:szCs w:val="21"/>
        </w:rPr>
        <w:t>00</w:t>
      </w:r>
      <w:r>
        <w:rPr>
          <w:rFonts w:cs="宋体" w:hint="eastAsia"/>
          <w:szCs w:val="21"/>
        </w:rPr>
        <w:t>以后的委托将会在下一个交易日处理</w:t>
      </w:r>
      <w:r>
        <w:rPr>
          <w:rFonts w:cs="宋体" w:hint="eastAsia"/>
          <w:szCs w:val="21"/>
        </w:rPr>
        <w:t>，具体以销售机构相关规定为准。</w:t>
      </w:r>
    </w:p>
    <w:p w:rsidR="00000000" w:rsidRDefault="0096588F">
      <w:pPr>
        <w:widowControl/>
        <w:spacing w:line="360" w:lineRule="auto"/>
        <w:ind w:firstLineChars="200" w:firstLine="420"/>
        <w:jc w:val="left"/>
        <w:rPr>
          <w:rFonts w:cs="宋体" w:hint="eastAsia"/>
          <w:color w:val="000000"/>
          <w:szCs w:val="21"/>
        </w:rPr>
      </w:pPr>
      <w:r>
        <w:rPr>
          <w:rFonts w:cs="宋体" w:hint="eastAsia"/>
          <w:szCs w:val="21"/>
        </w:rPr>
        <w:t xml:space="preserve"> </w:t>
      </w:r>
      <w:r>
        <w:rPr>
          <w:rFonts w:cs="宋体" w:hint="eastAsia"/>
          <w:color w:val="000000"/>
          <w:szCs w:val="21"/>
        </w:rPr>
        <w:t xml:space="preserve"> </w:t>
      </w:r>
    </w:p>
    <w:p w:rsidR="00000000" w:rsidRDefault="0096588F">
      <w:pPr>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color w:val="000000"/>
          <w:szCs w:val="21"/>
        </w:rPr>
        <w:t>二</w:t>
      </w:r>
      <w:r>
        <w:rPr>
          <w:rFonts w:cs="宋体" w:hint="eastAsia"/>
          <w:color w:val="000000"/>
          <w:szCs w:val="21"/>
        </w:rPr>
        <w:t>、</w:t>
      </w:r>
      <w:r>
        <w:rPr>
          <w:rFonts w:cs="宋体" w:hint="eastAsia"/>
          <w:szCs w:val="21"/>
        </w:rPr>
        <w:t>开通东吴基金旗下部分基金</w:t>
      </w:r>
      <w:r>
        <w:rPr>
          <w:rFonts w:cs="宋体" w:hint="eastAsia"/>
          <w:szCs w:val="21"/>
        </w:rPr>
        <w:t>的基金转换业务</w:t>
      </w:r>
    </w:p>
    <w:p w:rsidR="00000000" w:rsidRDefault="0096588F">
      <w:pPr>
        <w:widowControl/>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szCs w:val="21"/>
        </w:rPr>
        <w:t>为满足广大投资者的理财需求，东吴基金决定自</w:t>
      </w:r>
      <w:r>
        <w:rPr>
          <w:rFonts w:cs="宋体" w:hint="eastAsia"/>
          <w:szCs w:val="21"/>
        </w:rPr>
        <w:t>2024</w:t>
      </w:r>
      <w:r>
        <w:rPr>
          <w:rFonts w:cs="宋体" w:hint="eastAsia"/>
          <w:szCs w:val="21"/>
        </w:rPr>
        <w:t>年</w:t>
      </w:r>
      <w:r>
        <w:rPr>
          <w:rFonts w:cs="宋体" w:hint="eastAsia"/>
          <w:szCs w:val="21"/>
        </w:rPr>
        <w:t>3</w:t>
      </w:r>
      <w:r>
        <w:rPr>
          <w:rFonts w:cs="宋体" w:hint="eastAsia"/>
          <w:szCs w:val="21"/>
        </w:rPr>
        <w:t>月</w:t>
      </w:r>
      <w:r>
        <w:rPr>
          <w:rFonts w:cs="宋体" w:hint="eastAsia"/>
          <w:szCs w:val="21"/>
        </w:rPr>
        <w:t>21</w:t>
      </w:r>
      <w:r>
        <w:rPr>
          <w:rFonts w:cs="宋体" w:hint="eastAsia"/>
          <w:szCs w:val="21"/>
        </w:rPr>
        <w:t>日</w:t>
      </w:r>
      <w:r>
        <w:rPr>
          <w:rFonts w:cs="宋体" w:hint="eastAsia"/>
          <w:szCs w:val="21"/>
        </w:rPr>
        <w:t>起在</w:t>
      </w:r>
      <w:r>
        <w:rPr>
          <w:rFonts w:cs="宋体" w:hint="eastAsia"/>
          <w:kern w:val="0"/>
          <w:szCs w:val="21"/>
        </w:rPr>
        <w:t>华夏银行“华夏</w:t>
      </w:r>
      <w:r>
        <w:rPr>
          <w:rFonts w:cs="宋体" w:hint="eastAsia"/>
          <w:kern w:val="0"/>
          <w:szCs w:val="21"/>
        </w:rPr>
        <w:t>e</w:t>
      </w:r>
      <w:r>
        <w:rPr>
          <w:rFonts w:cs="宋体" w:hint="eastAsia"/>
          <w:kern w:val="0"/>
          <w:szCs w:val="21"/>
        </w:rPr>
        <w:t>家”同业平台</w:t>
      </w:r>
      <w:r>
        <w:rPr>
          <w:rFonts w:cs="宋体" w:hint="eastAsia"/>
          <w:szCs w:val="21"/>
        </w:rPr>
        <w:t>开通</w:t>
      </w:r>
      <w:r>
        <w:rPr>
          <w:rFonts w:cs="宋体" w:hint="eastAsia"/>
          <w:color w:val="000000"/>
          <w:kern w:val="0"/>
          <w:szCs w:val="21"/>
          <w:lang/>
        </w:rPr>
        <w:t>上述基金</w:t>
      </w:r>
      <w:r>
        <w:rPr>
          <w:rFonts w:cs="宋体" w:hint="eastAsia"/>
          <w:szCs w:val="21"/>
        </w:rPr>
        <w:t>的</w:t>
      </w:r>
      <w:r>
        <w:rPr>
          <w:rFonts w:cs="宋体" w:hint="eastAsia"/>
          <w:szCs w:val="21"/>
        </w:rPr>
        <w:t>转换</w:t>
      </w:r>
      <w:r>
        <w:rPr>
          <w:rFonts w:cs="宋体" w:hint="eastAsia"/>
          <w:szCs w:val="21"/>
        </w:rPr>
        <w:t>业务</w:t>
      </w:r>
      <w:r>
        <w:rPr>
          <w:rFonts w:cs="宋体" w:hint="eastAsia"/>
          <w:szCs w:val="21"/>
        </w:rPr>
        <w:t>（</w:t>
      </w:r>
      <w:r>
        <w:rPr>
          <w:rFonts w:cs="宋体" w:hint="eastAsia"/>
          <w:szCs w:val="21"/>
        </w:rPr>
        <w:t>东吴中证同业存单</w:t>
      </w:r>
      <w:r>
        <w:rPr>
          <w:rFonts w:cs="宋体" w:hint="eastAsia"/>
          <w:szCs w:val="21"/>
        </w:rPr>
        <w:t>AAA</w:t>
      </w:r>
      <w:r>
        <w:rPr>
          <w:rFonts w:cs="宋体" w:hint="eastAsia"/>
          <w:szCs w:val="21"/>
        </w:rPr>
        <w:t>指数</w:t>
      </w:r>
      <w:r>
        <w:rPr>
          <w:rFonts w:cs="宋体" w:hint="eastAsia"/>
          <w:szCs w:val="21"/>
        </w:rPr>
        <w:t>7</w:t>
      </w:r>
      <w:r>
        <w:rPr>
          <w:rFonts w:cs="宋体" w:hint="eastAsia"/>
          <w:szCs w:val="21"/>
        </w:rPr>
        <w:t>天持有期证券投资基金仅开通转换转出业务</w:t>
      </w:r>
      <w:r>
        <w:rPr>
          <w:rFonts w:cs="宋体" w:hint="eastAsia"/>
          <w:szCs w:val="21"/>
        </w:rPr>
        <w:t>）</w:t>
      </w:r>
      <w:r>
        <w:rPr>
          <w:rFonts w:cs="宋体" w:hint="eastAsia"/>
          <w:szCs w:val="21"/>
        </w:rPr>
        <w:t>。</w:t>
      </w:r>
    </w:p>
    <w:p w:rsidR="00000000" w:rsidRDefault="0096588F">
      <w:pPr>
        <w:widowControl/>
        <w:spacing w:line="360" w:lineRule="auto"/>
        <w:ind w:firstLineChars="200" w:firstLine="420"/>
        <w:jc w:val="left"/>
        <w:rPr>
          <w:rFonts w:cs="宋体" w:hint="eastAsia"/>
          <w:szCs w:val="21"/>
        </w:rPr>
      </w:pPr>
      <w:r>
        <w:rPr>
          <w:rFonts w:cs="宋体" w:hint="eastAsia"/>
          <w:szCs w:val="21"/>
        </w:rPr>
        <w:t>（一）基金转换业务适用投资者范围</w:t>
      </w:r>
    </w:p>
    <w:p w:rsidR="00000000" w:rsidRDefault="0096588F">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已持有本公司管理的开放式基金产品的投资者。</w:t>
      </w:r>
    </w:p>
    <w:p w:rsidR="00000000" w:rsidRDefault="0096588F">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（二）基金转换受理时间</w:t>
      </w:r>
    </w:p>
    <w:p w:rsidR="00000000" w:rsidRDefault="0096588F">
      <w:pPr>
        <w:spacing w:line="360" w:lineRule="auto"/>
        <w:ind w:firstLineChars="200" w:firstLine="420"/>
        <w:rPr>
          <w:rFonts w:cs="宋体" w:hint="eastAsia"/>
          <w:szCs w:val="21"/>
        </w:rPr>
      </w:pPr>
      <w:r>
        <w:rPr>
          <w:rFonts w:cs="宋体" w:hint="eastAsia"/>
          <w:szCs w:val="21"/>
        </w:rPr>
        <w:t>基金办理转换业务的开放日为</w:t>
      </w:r>
      <w:r>
        <w:rPr>
          <w:rFonts w:cs="宋体" w:hint="eastAsia"/>
          <w:szCs w:val="21"/>
        </w:rPr>
        <w:t>上海证券</w:t>
      </w:r>
      <w:r>
        <w:rPr>
          <w:rFonts w:cs="宋体" w:hint="eastAsia"/>
          <w:szCs w:val="21"/>
        </w:rPr>
        <w:t>交易所和深圳证券交易所交易日（本公司公告暂停转换时除外）。具体业务办理时间与基金日常申购业务时间相同。</w:t>
      </w:r>
    </w:p>
    <w:p w:rsidR="00000000" w:rsidRDefault="0096588F">
      <w:pPr>
        <w:spacing w:line="360" w:lineRule="auto"/>
        <w:ind w:firstLineChars="200" w:firstLine="420"/>
        <w:rPr>
          <w:rFonts w:cs="宋体" w:hint="eastAsia"/>
          <w:szCs w:val="21"/>
        </w:rPr>
      </w:pPr>
      <w:r>
        <w:rPr>
          <w:rFonts w:cs="宋体" w:hint="eastAsia"/>
          <w:szCs w:val="21"/>
        </w:rPr>
        <w:t>（三）基金转换业务规则</w:t>
      </w:r>
    </w:p>
    <w:p w:rsidR="00000000" w:rsidRDefault="0096588F">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转换业务具体业务规则请参照《东吴基金管理有</w:t>
      </w:r>
      <w:r>
        <w:rPr>
          <w:rFonts w:cs="宋体" w:hint="eastAsia"/>
          <w:color w:val="000000"/>
          <w:szCs w:val="21"/>
        </w:rPr>
        <w:t>限公司开放式基金业务规则》。</w:t>
      </w:r>
    </w:p>
    <w:p w:rsidR="00000000" w:rsidRDefault="0096588F">
      <w:pPr>
        <w:tabs>
          <w:tab w:val="left" w:pos="720"/>
        </w:tabs>
        <w:autoSpaceDE w:val="0"/>
        <w:autoSpaceDN w:val="0"/>
        <w:adjustRightInd w:val="0"/>
        <w:spacing w:line="360" w:lineRule="auto"/>
        <w:ind w:right="18" w:firstLineChars="200" w:firstLine="420"/>
        <w:jc w:val="left"/>
        <w:rPr>
          <w:rFonts w:cs="宋体" w:hint="eastAsia"/>
          <w:color w:val="000000"/>
          <w:szCs w:val="21"/>
        </w:rPr>
      </w:pPr>
    </w:p>
    <w:p w:rsidR="00000000" w:rsidRDefault="0096588F">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三</w:t>
      </w:r>
      <w:r>
        <w:rPr>
          <w:rFonts w:cs="宋体" w:hint="eastAsia"/>
          <w:color w:val="000000"/>
          <w:szCs w:val="21"/>
        </w:rPr>
        <w:t>、投资者可通过以下途径了解或咨询相关情况</w:t>
      </w:r>
      <w:r>
        <w:rPr>
          <w:rFonts w:cs="宋体" w:hint="eastAsia"/>
          <w:color w:val="000000"/>
          <w:szCs w:val="21"/>
        </w:rPr>
        <w:t xml:space="preserve"> </w:t>
      </w:r>
    </w:p>
    <w:p w:rsidR="00000000" w:rsidRDefault="0096588F">
      <w:pPr>
        <w:spacing w:line="360" w:lineRule="auto"/>
        <w:rPr>
          <w:rFonts w:cs="宋体" w:hint="eastAsia"/>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、华夏银行股份有限公司</w:t>
      </w:r>
    </w:p>
    <w:p w:rsidR="00000000" w:rsidRDefault="0096588F">
      <w:pPr>
        <w:spacing w:line="360" w:lineRule="auto"/>
        <w:rPr>
          <w:rFonts w:cs="宋体"/>
          <w:kern w:val="0"/>
          <w:szCs w:val="21"/>
        </w:rPr>
      </w:pPr>
      <w:r>
        <w:rPr>
          <w:rFonts w:cs="宋体" w:hint="eastAsia"/>
          <w:kern w:val="0"/>
          <w:szCs w:val="21"/>
        </w:rPr>
        <w:t xml:space="preserve">　　</w:t>
      </w:r>
      <w:r>
        <w:rPr>
          <w:rFonts w:cs="宋体" w:hint="eastAsia"/>
          <w:kern w:val="0"/>
          <w:szCs w:val="21"/>
        </w:rPr>
        <w:t xml:space="preserve">   </w:t>
      </w:r>
      <w:r>
        <w:rPr>
          <w:rFonts w:cs="宋体" w:hint="eastAsia"/>
          <w:kern w:val="0"/>
          <w:szCs w:val="21"/>
        </w:rPr>
        <w:t>客户服务热线：</w:t>
      </w:r>
      <w:r>
        <w:rPr>
          <w:rFonts w:cs="宋体" w:hint="eastAsia"/>
          <w:kern w:val="0"/>
          <w:szCs w:val="21"/>
        </w:rPr>
        <w:t>955</w:t>
      </w:r>
      <w:r>
        <w:rPr>
          <w:rFonts w:cs="宋体" w:hint="eastAsia"/>
          <w:kern w:val="0"/>
          <w:szCs w:val="21"/>
        </w:rPr>
        <w:t>77</w:t>
      </w:r>
    </w:p>
    <w:p w:rsidR="00000000" w:rsidRDefault="0096588F">
      <w:pPr>
        <w:spacing w:line="360" w:lineRule="auto"/>
        <w:ind w:firstLineChars="304" w:firstLine="638"/>
        <w:rPr>
          <w:rFonts w:cs="宋体" w:hint="eastAsia"/>
          <w:kern w:val="0"/>
          <w:szCs w:val="21"/>
        </w:rPr>
      </w:pPr>
      <w:r>
        <w:rPr>
          <w:rFonts w:cs="宋体" w:hint="eastAsia"/>
          <w:kern w:val="0"/>
          <w:szCs w:val="21"/>
        </w:rPr>
        <w:t xml:space="preserve"> </w:t>
      </w:r>
      <w:r>
        <w:rPr>
          <w:rFonts w:cs="宋体" w:hint="eastAsia"/>
          <w:kern w:val="0"/>
          <w:szCs w:val="21"/>
        </w:rPr>
        <w:t>公司网址</w:t>
      </w:r>
      <w:r>
        <w:rPr>
          <w:rFonts w:cs="宋体" w:hint="eastAsia"/>
          <w:kern w:val="0"/>
          <w:szCs w:val="21"/>
        </w:rPr>
        <w:t>：</w:t>
      </w:r>
      <w:r>
        <w:rPr>
          <w:rFonts w:cs="宋体" w:hint="eastAsia"/>
          <w:kern w:val="0"/>
          <w:szCs w:val="21"/>
        </w:rPr>
        <w:t xml:space="preserve">www.hxb.com.cn </w:t>
      </w:r>
      <w:hyperlink r:id="rId5" w:tooltip="blocked::http://www.shzq.com/" w:history="1"/>
      <w:hyperlink r:id="rId6" w:history="1"/>
      <w:hyperlink r:id="rId7" w:history="1"/>
    </w:p>
    <w:p w:rsidR="00000000" w:rsidRDefault="0096588F">
      <w:pPr>
        <w:spacing w:line="360" w:lineRule="auto"/>
        <w:ind w:firstLineChars="200" w:firstLine="420"/>
        <w:rPr>
          <w:rFonts w:cs="宋体" w:hint="eastAsia"/>
          <w:kern w:val="0"/>
          <w:szCs w:val="21"/>
        </w:rPr>
      </w:pPr>
      <w:r>
        <w:rPr>
          <w:rFonts w:cs="宋体" w:hint="eastAsia"/>
          <w:kern w:val="0"/>
          <w:szCs w:val="21"/>
        </w:rPr>
        <w:t>2</w:t>
      </w:r>
      <w:r>
        <w:rPr>
          <w:rFonts w:cs="宋体" w:hint="eastAsia"/>
          <w:kern w:val="0"/>
          <w:szCs w:val="21"/>
        </w:rPr>
        <w:t>、</w:t>
      </w:r>
      <w:r>
        <w:rPr>
          <w:rFonts w:cs="宋体" w:hint="eastAsia"/>
          <w:kern w:val="0"/>
          <w:szCs w:val="21"/>
        </w:rPr>
        <w:t>东吴基金管</w:t>
      </w:r>
      <w:r>
        <w:rPr>
          <w:rFonts w:cs="宋体" w:hint="eastAsia"/>
          <w:kern w:val="0"/>
          <w:szCs w:val="21"/>
        </w:rPr>
        <w:t>理有限公司</w:t>
      </w:r>
      <w:r>
        <w:rPr>
          <w:rFonts w:cs="宋体" w:hint="eastAsia"/>
          <w:kern w:val="0"/>
          <w:szCs w:val="21"/>
        </w:rPr>
        <w:t xml:space="preserve"> </w:t>
      </w:r>
    </w:p>
    <w:p w:rsidR="00000000" w:rsidRDefault="0096588F">
      <w:pPr>
        <w:spacing w:line="360" w:lineRule="auto"/>
        <w:rPr>
          <w:rFonts w:cs="宋体" w:hint="eastAsia"/>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客户服务热线：</w:t>
      </w:r>
      <w:r>
        <w:rPr>
          <w:rFonts w:cs="宋体" w:hint="eastAsia"/>
          <w:kern w:val="0"/>
          <w:szCs w:val="21"/>
        </w:rPr>
        <w:t>400-821-0588</w:t>
      </w:r>
      <w:r>
        <w:rPr>
          <w:rFonts w:cs="宋体" w:hint="eastAsia"/>
          <w:kern w:val="0"/>
          <w:szCs w:val="21"/>
        </w:rPr>
        <w:t>（免长途话费）</w:t>
      </w:r>
    </w:p>
    <w:p w:rsidR="00000000" w:rsidRDefault="0096588F">
      <w:pPr>
        <w:spacing w:line="360" w:lineRule="auto"/>
        <w:rPr>
          <w:rFonts w:cs="宋体" w:hint="eastAsia"/>
          <w:color w:val="000000"/>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公司网址：</w:t>
      </w:r>
      <w:hyperlink r:id="rId8" w:history="1">
        <w:r>
          <w:rPr>
            <w:rFonts w:cs="宋体" w:hint="eastAsia"/>
            <w:szCs w:val="21"/>
          </w:rPr>
          <w:t>www.scfund.com.cn</w:t>
        </w:r>
      </w:hyperlink>
    </w:p>
    <w:p w:rsidR="00000000" w:rsidRDefault="0096588F">
      <w:pPr>
        <w:spacing w:line="360" w:lineRule="auto"/>
        <w:ind w:firstLineChars="200" w:firstLine="420"/>
        <w:rPr>
          <w:rFonts w:cs="宋体" w:hint="eastAsia"/>
          <w:color w:val="000000"/>
          <w:kern w:val="0"/>
          <w:szCs w:val="21"/>
        </w:rPr>
      </w:pPr>
    </w:p>
    <w:p w:rsidR="00000000" w:rsidRDefault="0096588F">
      <w:pPr>
        <w:spacing w:line="360" w:lineRule="auto"/>
        <w:ind w:firstLineChars="200" w:firstLine="420"/>
        <w:rPr>
          <w:rFonts w:cs="宋体" w:hint="eastAsia"/>
          <w:color w:val="000000"/>
          <w:kern w:val="0"/>
          <w:szCs w:val="21"/>
        </w:rPr>
      </w:pPr>
      <w:r>
        <w:rPr>
          <w:rFonts w:cs="宋体" w:hint="eastAsia"/>
          <w:color w:val="000000"/>
          <w:kern w:val="0"/>
          <w:szCs w:val="21"/>
        </w:rPr>
        <w:t>四</w:t>
      </w:r>
      <w:r>
        <w:rPr>
          <w:rFonts w:cs="宋体" w:hint="eastAsia"/>
          <w:color w:val="000000"/>
          <w:kern w:val="0"/>
          <w:szCs w:val="21"/>
        </w:rPr>
        <w:t>、风险提示</w:t>
      </w:r>
    </w:p>
    <w:p w:rsidR="00000000" w:rsidRDefault="0096588F">
      <w:pPr>
        <w:spacing w:line="360" w:lineRule="auto"/>
        <w:ind w:firstLineChars="200" w:firstLine="420"/>
        <w:rPr>
          <w:rFonts w:cs="宋体" w:hint="eastAsia"/>
          <w:szCs w:val="21"/>
        </w:rPr>
      </w:pPr>
      <w:r>
        <w:rPr>
          <w:rFonts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本公司承诺以诚实信用、勤勉尽责的原则管理和运用基金资产，但不保证基金一定盈利，也不保证最低收益。敬请投资者在投资前认真阅读我司旗下基金的《基金合同》和《招募说明书》和《基金产品资料概要》</w:t>
      </w:r>
      <w:r>
        <w:rPr>
          <w:rFonts w:cs="宋体" w:hint="eastAsia"/>
          <w:color w:val="000000"/>
          <w:kern w:val="0"/>
          <w:szCs w:val="21"/>
        </w:rPr>
        <w:t>等法律文件</w:t>
      </w:r>
      <w:r>
        <w:rPr>
          <w:rFonts w:cs="宋体" w:hint="eastAsia"/>
          <w:szCs w:val="21"/>
        </w:rPr>
        <w:t>。</w:t>
      </w:r>
    </w:p>
    <w:p w:rsidR="00000000" w:rsidRDefault="0096588F">
      <w:pPr>
        <w:spacing w:line="360" w:lineRule="auto"/>
        <w:rPr>
          <w:rFonts w:cs="宋体" w:hint="eastAsia"/>
          <w:szCs w:val="21"/>
        </w:rPr>
      </w:pPr>
      <w:r>
        <w:rPr>
          <w:rFonts w:cs="宋体" w:hint="eastAsia"/>
          <w:szCs w:val="21"/>
        </w:rPr>
        <w:t xml:space="preserve">    </w:t>
      </w:r>
    </w:p>
    <w:p w:rsidR="00000000" w:rsidRDefault="0096588F">
      <w:pPr>
        <w:spacing w:line="360" w:lineRule="auto"/>
        <w:ind w:firstLineChars="200" w:firstLine="420"/>
        <w:rPr>
          <w:rFonts w:cs="宋体" w:hint="eastAsia"/>
          <w:szCs w:val="21"/>
        </w:rPr>
      </w:pPr>
      <w:r>
        <w:rPr>
          <w:rFonts w:cs="宋体" w:hint="eastAsia"/>
          <w:szCs w:val="21"/>
        </w:rPr>
        <w:t xml:space="preserve"> </w:t>
      </w:r>
      <w:r>
        <w:rPr>
          <w:rFonts w:cs="宋体" w:hint="eastAsia"/>
          <w:szCs w:val="21"/>
        </w:rPr>
        <w:t>特此公告。</w:t>
      </w:r>
      <w:r>
        <w:rPr>
          <w:rFonts w:cs="宋体" w:hint="eastAsia"/>
          <w:szCs w:val="21"/>
        </w:rPr>
        <w:t xml:space="preserve"> </w:t>
      </w:r>
    </w:p>
    <w:p w:rsidR="00000000" w:rsidRDefault="0096588F">
      <w:pPr>
        <w:spacing w:line="400" w:lineRule="exact"/>
        <w:jc w:val="right"/>
        <w:rPr>
          <w:rFonts w:cs="宋体" w:hint="eastAsia"/>
          <w:szCs w:val="21"/>
        </w:rPr>
      </w:pPr>
      <w:r>
        <w:rPr>
          <w:rFonts w:cs="宋体" w:hint="eastAsia"/>
          <w:szCs w:val="21"/>
        </w:rPr>
        <w:t xml:space="preserve">                           </w:t>
      </w:r>
      <w:r>
        <w:rPr>
          <w:rFonts w:cs="宋体" w:hint="eastAsia"/>
          <w:szCs w:val="21"/>
        </w:rPr>
        <w:t xml:space="preserve">          </w:t>
      </w:r>
      <w:r>
        <w:rPr>
          <w:rFonts w:cs="宋体" w:hint="eastAsia"/>
          <w:szCs w:val="21"/>
        </w:rPr>
        <w:t>东吴基金管理有限公司</w:t>
      </w:r>
    </w:p>
    <w:p w:rsidR="00000000" w:rsidRDefault="0096588F">
      <w:pPr>
        <w:spacing w:line="400" w:lineRule="exact"/>
        <w:jc w:val="right"/>
        <w:rPr>
          <w:rFonts w:cs="宋体" w:hint="eastAsia"/>
          <w:szCs w:val="21"/>
        </w:rPr>
      </w:pPr>
      <w:r>
        <w:rPr>
          <w:rFonts w:cs="宋体" w:hint="eastAsia"/>
          <w:szCs w:val="21"/>
        </w:rPr>
        <w:t xml:space="preserve">                                     </w:t>
      </w:r>
      <w:r>
        <w:rPr>
          <w:rFonts w:cs="宋体" w:hint="eastAsia"/>
          <w:szCs w:val="21"/>
        </w:rPr>
        <w:t>2024</w:t>
      </w:r>
      <w:r>
        <w:rPr>
          <w:rFonts w:cs="宋体" w:hint="eastAsia"/>
          <w:szCs w:val="21"/>
        </w:rPr>
        <w:t>年</w:t>
      </w:r>
      <w:r>
        <w:rPr>
          <w:rFonts w:cs="宋体" w:hint="eastAsia"/>
          <w:szCs w:val="21"/>
        </w:rPr>
        <w:t>3</w:t>
      </w:r>
      <w:r>
        <w:rPr>
          <w:rFonts w:cs="宋体" w:hint="eastAsia"/>
          <w:szCs w:val="21"/>
        </w:rPr>
        <w:t>月</w:t>
      </w:r>
      <w:r>
        <w:rPr>
          <w:rFonts w:cs="宋体" w:hint="eastAsia"/>
          <w:szCs w:val="21"/>
        </w:rPr>
        <w:t>19</w:t>
      </w:r>
      <w:r>
        <w:rPr>
          <w:rFonts w:cs="宋体" w:hint="eastAsia"/>
          <w:szCs w:val="21"/>
        </w:rPr>
        <w:t>日</w:t>
      </w:r>
    </w:p>
    <w:p w:rsidR="00000000" w:rsidRDefault="0096588F"/>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 w:name="KSO_WPS_MARK_KEY" w:val="1282f676-f6e8-43f6-b041-c716090c35d3"/>
  </w:docVars>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6588F"/>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266495"/>
    <w:rsid w:val="014F75AE"/>
    <w:rsid w:val="018141F9"/>
    <w:rsid w:val="01DA3C64"/>
    <w:rsid w:val="025E6EF2"/>
    <w:rsid w:val="028E4041"/>
    <w:rsid w:val="02A9126A"/>
    <w:rsid w:val="02AC2AD9"/>
    <w:rsid w:val="02C4633C"/>
    <w:rsid w:val="02FE7A2C"/>
    <w:rsid w:val="03164509"/>
    <w:rsid w:val="037B608B"/>
    <w:rsid w:val="03900D70"/>
    <w:rsid w:val="03BF4636"/>
    <w:rsid w:val="043A593E"/>
    <w:rsid w:val="05282922"/>
    <w:rsid w:val="05743748"/>
    <w:rsid w:val="05FD0EAD"/>
    <w:rsid w:val="06171B42"/>
    <w:rsid w:val="066C5AF4"/>
    <w:rsid w:val="076808B4"/>
    <w:rsid w:val="07E27256"/>
    <w:rsid w:val="07EC11B9"/>
    <w:rsid w:val="089B75B6"/>
    <w:rsid w:val="089F48AC"/>
    <w:rsid w:val="08B95FAF"/>
    <w:rsid w:val="095A6915"/>
    <w:rsid w:val="097914DE"/>
    <w:rsid w:val="09C82DC6"/>
    <w:rsid w:val="0A641E54"/>
    <w:rsid w:val="0ADC0FD5"/>
    <w:rsid w:val="0AE5737F"/>
    <w:rsid w:val="0AEB4D2E"/>
    <w:rsid w:val="0AFA04AF"/>
    <w:rsid w:val="0B2854B7"/>
    <w:rsid w:val="0B5A6D5F"/>
    <w:rsid w:val="0B702E95"/>
    <w:rsid w:val="0C1734E6"/>
    <w:rsid w:val="0C465321"/>
    <w:rsid w:val="0CBA046B"/>
    <w:rsid w:val="0CD34EFF"/>
    <w:rsid w:val="0CDA088F"/>
    <w:rsid w:val="0CFC7345"/>
    <w:rsid w:val="0D781E29"/>
    <w:rsid w:val="0EA57120"/>
    <w:rsid w:val="0F420568"/>
    <w:rsid w:val="0F5A6124"/>
    <w:rsid w:val="0FCE7E58"/>
    <w:rsid w:val="103852DA"/>
    <w:rsid w:val="103D7A7A"/>
    <w:rsid w:val="10ED011B"/>
    <w:rsid w:val="117D03B7"/>
    <w:rsid w:val="11D35ECA"/>
    <w:rsid w:val="121B17A1"/>
    <w:rsid w:val="12260115"/>
    <w:rsid w:val="126C35C1"/>
    <w:rsid w:val="12ED0AC1"/>
    <w:rsid w:val="13A147CE"/>
    <w:rsid w:val="1412586F"/>
    <w:rsid w:val="144D74F1"/>
    <w:rsid w:val="14695692"/>
    <w:rsid w:val="149A6E87"/>
    <w:rsid w:val="149B08DC"/>
    <w:rsid w:val="15284B7A"/>
    <w:rsid w:val="156173A0"/>
    <w:rsid w:val="15D65076"/>
    <w:rsid w:val="16887312"/>
    <w:rsid w:val="16BB2E3C"/>
    <w:rsid w:val="16E41E49"/>
    <w:rsid w:val="176C38A0"/>
    <w:rsid w:val="17837E4E"/>
    <w:rsid w:val="183F3F70"/>
    <w:rsid w:val="185A6A58"/>
    <w:rsid w:val="18723695"/>
    <w:rsid w:val="18AC5BF4"/>
    <w:rsid w:val="196E49C7"/>
    <w:rsid w:val="1A0B0B52"/>
    <w:rsid w:val="1A4100CF"/>
    <w:rsid w:val="1BD41A17"/>
    <w:rsid w:val="1BED5CE0"/>
    <w:rsid w:val="1C677BCF"/>
    <w:rsid w:val="1C863E5F"/>
    <w:rsid w:val="1CA27161"/>
    <w:rsid w:val="1CDF3654"/>
    <w:rsid w:val="1DE62317"/>
    <w:rsid w:val="1E3644FF"/>
    <w:rsid w:val="1F603866"/>
    <w:rsid w:val="1FC7683A"/>
    <w:rsid w:val="1FDF5B04"/>
    <w:rsid w:val="1FFE7667"/>
    <w:rsid w:val="20040DFF"/>
    <w:rsid w:val="213212D6"/>
    <w:rsid w:val="21FC2E7E"/>
    <w:rsid w:val="2217174F"/>
    <w:rsid w:val="22213E6C"/>
    <w:rsid w:val="224C5A31"/>
    <w:rsid w:val="225C7323"/>
    <w:rsid w:val="2269333F"/>
    <w:rsid w:val="22B107F8"/>
    <w:rsid w:val="235231CF"/>
    <w:rsid w:val="23A83A0D"/>
    <w:rsid w:val="24140680"/>
    <w:rsid w:val="24492F66"/>
    <w:rsid w:val="246062EC"/>
    <w:rsid w:val="24BE23D4"/>
    <w:rsid w:val="25123A35"/>
    <w:rsid w:val="2534229A"/>
    <w:rsid w:val="257D32B1"/>
    <w:rsid w:val="25EC6BD7"/>
    <w:rsid w:val="26165B41"/>
    <w:rsid w:val="27751639"/>
    <w:rsid w:val="27C45851"/>
    <w:rsid w:val="27CF750B"/>
    <w:rsid w:val="27E36121"/>
    <w:rsid w:val="280C74C5"/>
    <w:rsid w:val="28525604"/>
    <w:rsid w:val="287C47B4"/>
    <w:rsid w:val="28AF333F"/>
    <w:rsid w:val="2920062A"/>
    <w:rsid w:val="297E1EFC"/>
    <w:rsid w:val="2A395F8D"/>
    <w:rsid w:val="2A656EEF"/>
    <w:rsid w:val="2AAE6793"/>
    <w:rsid w:val="2B382728"/>
    <w:rsid w:val="2B5C6850"/>
    <w:rsid w:val="2B8A529A"/>
    <w:rsid w:val="2B9D584F"/>
    <w:rsid w:val="2BAA0794"/>
    <w:rsid w:val="2BAD2685"/>
    <w:rsid w:val="2C445CD5"/>
    <w:rsid w:val="2CB23497"/>
    <w:rsid w:val="2D2F0A6E"/>
    <w:rsid w:val="2E290C48"/>
    <w:rsid w:val="2F1D5A8B"/>
    <w:rsid w:val="2F800E65"/>
    <w:rsid w:val="2FAA2872"/>
    <w:rsid w:val="2FCA1259"/>
    <w:rsid w:val="2FE857C9"/>
    <w:rsid w:val="309148BA"/>
    <w:rsid w:val="30A04B7E"/>
    <w:rsid w:val="30D40089"/>
    <w:rsid w:val="320D0E17"/>
    <w:rsid w:val="322D3DD5"/>
    <w:rsid w:val="323563A5"/>
    <w:rsid w:val="32B61B46"/>
    <w:rsid w:val="32C945B8"/>
    <w:rsid w:val="330C0562"/>
    <w:rsid w:val="331C31BE"/>
    <w:rsid w:val="33464B7A"/>
    <w:rsid w:val="33576347"/>
    <w:rsid w:val="33915228"/>
    <w:rsid w:val="33B075FE"/>
    <w:rsid w:val="33CB2631"/>
    <w:rsid w:val="340332F1"/>
    <w:rsid w:val="34395C89"/>
    <w:rsid w:val="34877D0D"/>
    <w:rsid w:val="351A72AD"/>
    <w:rsid w:val="35282C5A"/>
    <w:rsid w:val="354D41DF"/>
    <w:rsid w:val="35D5640E"/>
    <w:rsid w:val="36371F6E"/>
    <w:rsid w:val="36AC5178"/>
    <w:rsid w:val="370C6F24"/>
    <w:rsid w:val="373E372F"/>
    <w:rsid w:val="378D6FA0"/>
    <w:rsid w:val="37CA3A87"/>
    <w:rsid w:val="38137F9C"/>
    <w:rsid w:val="384D2127"/>
    <w:rsid w:val="39C57299"/>
    <w:rsid w:val="39E949C6"/>
    <w:rsid w:val="39FB0130"/>
    <w:rsid w:val="3A0D38CD"/>
    <w:rsid w:val="3A1439A9"/>
    <w:rsid w:val="3A88044D"/>
    <w:rsid w:val="3AD30201"/>
    <w:rsid w:val="3B7E63F7"/>
    <w:rsid w:val="3BCF2D0F"/>
    <w:rsid w:val="3C44454F"/>
    <w:rsid w:val="3D6E29EB"/>
    <w:rsid w:val="3D9B70CD"/>
    <w:rsid w:val="3DA939C5"/>
    <w:rsid w:val="3E1F1601"/>
    <w:rsid w:val="3E431917"/>
    <w:rsid w:val="3EA74EA6"/>
    <w:rsid w:val="3EAB2453"/>
    <w:rsid w:val="3F0D38BA"/>
    <w:rsid w:val="3F156B28"/>
    <w:rsid w:val="40591B82"/>
    <w:rsid w:val="406900CD"/>
    <w:rsid w:val="409B7B27"/>
    <w:rsid w:val="40ED1605"/>
    <w:rsid w:val="412133EB"/>
    <w:rsid w:val="41F017A8"/>
    <w:rsid w:val="42D52A3F"/>
    <w:rsid w:val="42F17050"/>
    <w:rsid w:val="431369E3"/>
    <w:rsid w:val="436A00A2"/>
    <w:rsid w:val="4399457F"/>
    <w:rsid w:val="443C6B00"/>
    <w:rsid w:val="44676143"/>
    <w:rsid w:val="44D067D1"/>
    <w:rsid w:val="44E670C8"/>
    <w:rsid w:val="453E3F7B"/>
    <w:rsid w:val="46692B10"/>
    <w:rsid w:val="467C28B2"/>
    <w:rsid w:val="46B05CA5"/>
    <w:rsid w:val="473A5625"/>
    <w:rsid w:val="476F114B"/>
    <w:rsid w:val="47C17D67"/>
    <w:rsid w:val="48463A92"/>
    <w:rsid w:val="488515F1"/>
    <w:rsid w:val="489354A0"/>
    <w:rsid w:val="49083735"/>
    <w:rsid w:val="490F7BDD"/>
    <w:rsid w:val="4AAF17BC"/>
    <w:rsid w:val="4AFB1112"/>
    <w:rsid w:val="4C8C3A8E"/>
    <w:rsid w:val="4D473B61"/>
    <w:rsid w:val="4E053C46"/>
    <w:rsid w:val="4E13044B"/>
    <w:rsid w:val="4E1E499E"/>
    <w:rsid w:val="4E2906CE"/>
    <w:rsid w:val="4EC201C3"/>
    <w:rsid w:val="4F1C2EFD"/>
    <w:rsid w:val="4F691C56"/>
    <w:rsid w:val="4FA249DE"/>
    <w:rsid w:val="4FD81752"/>
    <w:rsid w:val="50B77329"/>
    <w:rsid w:val="51C41695"/>
    <w:rsid w:val="524B0146"/>
    <w:rsid w:val="52861B73"/>
    <w:rsid w:val="52D60FD9"/>
    <w:rsid w:val="531D1557"/>
    <w:rsid w:val="5328390B"/>
    <w:rsid w:val="53506042"/>
    <w:rsid w:val="537F1847"/>
    <w:rsid w:val="554167A1"/>
    <w:rsid w:val="56BD677F"/>
    <w:rsid w:val="57564D00"/>
    <w:rsid w:val="5794651A"/>
    <w:rsid w:val="57EC095E"/>
    <w:rsid w:val="580F7213"/>
    <w:rsid w:val="58BB67A0"/>
    <w:rsid w:val="58DA0FD3"/>
    <w:rsid w:val="58F65C68"/>
    <w:rsid w:val="58FD4074"/>
    <w:rsid w:val="58FF5142"/>
    <w:rsid w:val="59391735"/>
    <w:rsid w:val="59C33488"/>
    <w:rsid w:val="5A131408"/>
    <w:rsid w:val="5A2B49EC"/>
    <w:rsid w:val="5A6F1F2F"/>
    <w:rsid w:val="5A765101"/>
    <w:rsid w:val="5A9F0071"/>
    <w:rsid w:val="5AF57022"/>
    <w:rsid w:val="5B6C4405"/>
    <w:rsid w:val="5B850857"/>
    <w:rsid w:val="5B9E2DB8"/>
    <w:rsid w:val="5BA33C64"/>
    <w:rsid w:val="5BE71D34"/>
    <w:rsid w:val="5BF159D4"/>
    <w:rsid w:val="5C0E2860"/>
    <w:rsid w:val="5C712910"/>
    <w:rsid w:val="5D057564"/>
    <w:rsid w:val="5D4229CD"/>
    <w:rsid w:val="5D6B0290"/>
    <w:rsid w:val="5DF854E1"/>
    <w:rsid w:val="5E1A796B"/>
    <w:rsid w:val="5E2A5AED"/>
    <w:rsid w:val="5E7D2556"/>
    <w:rsid w:val="5F110351"/>
    <w:rsid w:val="5F3C0630"/>
    <w:rsid w:val="5FAA4FFC"/>
    <w:rsid w:val="5FF6259B"/>
    <w:rsid w:val="6025124B"/>
    <w:rsid w:val="603D5AAD"/>
    <w:rsid w:val="6072134A"/>
    <w:rsid w:val="608A7D81"/>
    <w:rsid w:val="60C05441"/>
    <w:rsid w:val="61186496"/>
    <w:rsid w:val="61B65F15"/>
    <w:rsid w:val="61BE058B"/>
    <w:rsid w:val="61F61A03"/>
    <w:rsid w:val="6219297F"/>
    <w:rsid w:val="6277421B"/>
    <w:rsid w:val="62E01DCA"/>
    <w:rsid w:val="637D72F5"/>
    <w:rsid w:val="63857653"/>
    <w:rsid w:val="63AF3D3A"/>
    <w:rsid w:val="63D931E2"/>
    <w:rsid w:val="641D434E"/>
    <w:rsid w:val="646D072F"/>
    <w:rsid w:val="650A6E75"/>
    <w:rsid w:val="651560BA"/>
    <w:rsid w:val="65273A24"/>
    <w:rsid w:val="652E52F0"/>
    <w:rsid w:val="65890AB7"/>
    <w:rsid w:val="65916115"/>
    <w:rsid w:val="65DE5582"/>
    <w:rsid w:val="66240165"/>
    <w:rsid w:val="66F43AF7"/>
    <w:rsid w:val="67787F8D"/>
    <w:rsid w:val="6792295F"/>
    <w:rsid w:val="67F266AF"/>
    <w:rsid w:val="68FC32F2"/>
    <w:rsid w:val="696A0640"/>
    <w:rsid w:val="69A07404"/>
    <w:rsid w:val="69E95778"/>
    <w:rsid w:val="6A596387"/>
    <w:rsid w:val="6A732B77"/>
    <w:rsid w:val="6AC975E8"/>
    <w:rsid w:val="6B3016EB"/>
    <w:rsid w:val="6BA2466A"/>
    <w:rsid w:val="6BBB6AAD"/>
    <w:rsid w:val="6C50732E"/>
    <w:rsid w:val="6DB15CE3"/>
    <w:rsid w:val="6DCF7A62"/>
    <w:rsid w:val="6E044B8A"/>
    <w:rsid w:val="6EA33497"/>
    <w:rsid w:val="6EB448FD"/>
    <w:rsid w:val="6F383D07"/>
    <w:rsid w:val="6F421085"/>
    <w:rsid w:val="6FC714F2"/>
    <w:rsid w:val="706C7FA2"/>
    <w:rsid w:val="70E37F8D"/>
    <w:rsid w:val="71127BA2"/>
    <w:rsid w:val="7187084F"/>
    <w:rsid w:val="72165F65"/>
    <w:rsid w:val="726F6D4C"/>
    <w:rsid w:val="72835E6E"/>
    <w:rsid w:val="72B30DC7"/>
    <w:rsid w:val="73975252"/>
    <w:rsid w:val="73AB1F81"/>
    <w:rsid w:val="73F12CD0"/>
    <w:rsid w:val="73FD2CDB"/>
    <w:rsid w:val="753271D8"/>
    <w:rsid w:val="757438E6"/>
    <w:rsid w:val="75E861EF"/>
    <w:rsid w:val="7618435B"/>
    <w:rsid w:val="768C1119"/>
    <w:rsid w:val="7729744D"/>
    <w:rsid w:val="776C6CE8"/>
    <w:rsid w:val="777D46CA"/>
    <w:rsid w:val="77923065"/>
    <w:rsid w:val="77B37523"/>
    <w:rsid w:val="77EF43DC"/>
    <w:rsid w:val="78501E3B"/>
    <w:rsid w:val="78B70A5B"/>
    <w:rsid w:val="795A5208"/>
    <w:rsid w:val="795D3C37"/>
    <w:rsid w:val="79833C7C"/>
    <w:rsid w:val="79C91A00"/>
    <w:rsid w:val="79DB41C3"/>
    <w:rsid w:val="79EE3760"/>
    <w:rsid w:val="7A5709DC"/>
    <w:rsid w:val="7A8F4748"/>
    <w:rsid w:val="7A9629B0"/>
    <w:rsid w:val="7ACB744D"/>
    <w:rsid w:val="7B3E4593"/>
    <w:rsid w:val="7B9F358C"/>
    <w:rsid w:val="7C271FE0"/>
    <w:rsid w:val="7C464660"/>
    <w:rsid w:val="7CE03CA6"/>
    <w:rsid w:val="7D0801C2"/>
    <w:rsid w:val="7D3B2EE5"/>
    <w:rsid w:val="7DA60233"/>
    <w:rsid w:val="7DE92D15"/>
    <w:rsid w:val="7E1150D6"/>
    <w:rsid w:val="7E1A4758"/>
    <w:rsid w:val="7F1076A5"/>
    <w:rsid w:val="7F737252"/>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954F72"/>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2">
    <w:name w:val="emailstyle22"/>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3" Type="http://schemas.openxmlformats.org/officeDocument/2006/relationships/settings" Target="settings.xml"/><Relationship Id="rId7" Type="http://schemas.openxmlformats.org/officeDocument/2006/relationships/hyperlink" Target="http://www.hgccp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aimofang.cn/" TargetMode="External"/><Relationship Id="rId5" Type="http://schemas.openxmlformats.org/officeDocument/2006/relationships/hyperlink" Target="http://www.shzq.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东吴基金管理有限公司关于旗下部分基金新增华夏银行股份有限公司“华夏e家”同业平台为代销机构并开通转换业务的公告</dc:title>
  <dc:subject/>
  <dc:creator>dingxue</dc:creator>
  <cp:keywords/>
  <dc:description/>
  <cp:lastModifiedBy>ZHONGM</cp:lastModifiedBy>
  <cp:revision>2</cp:revision>
  <cp:lastPrinted>2015-06-11T02:51:00Z</cp:lastPrinted>
  <dcterms:created xsi:type="dcterms:W3CDTF">2024-03-18T16:00:00Z</dcterms:created>
  <dcterms:modified xsi:type="dcterms:W3CDTF">2024-03-18T16:00:00Z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B2CF4CFE1DD2429EBEAC5BEB92B13319_13</vt:lpwstr>
  </property>
</Properties>
</file>