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E3" w:rsidRDefault="007E0558" w:rsidP="000470E3">
      <w:pPr>
        <w:jc w:val="center"/>
        <w:rPr>
          <w:rFonts w:ascii="宋体" w:hAnsi="宋体"/>
          <w:b/>
          <w:sz w:val="28"/>
          <w:szCs w:val="28"/>
        </w:rPr>
      </w:pPr>
      <w:r>
        <w:rPr>
          <w:rFonts w:hint="eastAsia"/>
          <w:b/>
          <w:sz w:val="28"/>
          <w:szCs w:val="28"/>
        </w:rPr>
        <w:t>大成</w:t>
      </w:r>
      <w:r w:rsidR="00D67B1A">
        <w:rPr>
          <w:rFonts w:ascii="宋体" w:hAnsi="宋体" w:hint="eastAsia"/>
          <w:b/>
          <w:sz w:val="28"/>
          <w:szCs w:val="28"/>
        </w:rPr>
        <w:t>基金管理有限公司</w:t>
      </w:r>
    </w:p>
    <w:p w:rsidR="00CD194C" w:rsidRDefault="00D67B1A" w:rsidP="00D67B1A">
      <w:pPr>
        <w:jc w:val="center"/>
        <w:rPr>
          <w:rFonts w:ascii="宋体" w:hAnsi="宋体"/>
          <w:b/>
          <w:sz w:val="28"/>
          <w:szCs w:val="28"/>
        </w:rPr>
      </w:pPr>
      <w:r>
        <w:rPr>
          <w:rFonts w:ascii="宋体" w:hAnsi="宋体" w:hint="eastAsia"/>
          <w:b/>
          <w:sz w:val="28"/>
          <w:szCs w:val="28"/>
        </w:rPr>
        <w:t>关于</w:t>
      </w:r>
      <w:r w:rsidR="000470E3" w:rsidRPr="000470E3">
        <w:rPr>
          <w:rFonts w:ascii="宋体" w:hAnsi="宋体" w:hint="eastAsia"/>
          <w:b/>
          <w:sz w:val="28"/>
          <w:szCs w:val="28"/>
        </w:rPr>
        <w:t>调整旗下部分基金</w:t>
      </w:r>
      <w:r w:rsidR="002A0ED4">
        <w:rPr>
          <w:rFonts w:ascii="宋体" w:hAnsi="宋体" w:hint="eastAsia"/>
          <w:b/>
          <w:sz w:val="28"/>
          <w:szCs w:val="28"/>
        </w:rPr>
        <w:t>基金</w:t>
      </w:r>
      <w:r w:rsidR="000470E3" w:rsidRPr="000470E3">
        <w:rPr>
          <w:rFonts w:ascii="宋体" w:hAnsi="宋体" w:hint="eastAsia"/>
          <w:b/>
          <w:sz w:val="28"/>
          <w:szCs w:val="28"/>
        </w:rPr>
        <w:t>份额净值的小数点保留位数并相应修订基金合同和托管协议</w:t>
      </w:r>
      <w:r>
        <w:rPr>
          <w:rFonts w:ascii="宋体" w:hAnsi="宋体" w:hint="eastAsia"/>
          <w:b/>
          <w:sz w:val="28"/>
          <w:szCs w:val="28"/>
        </w:rPr>
        <w:t>的公告</w:t>
      </w:r>
    </w:p>
    <w:p w:rsidR="00D67B1A" w:rsidRPr="00D67B1A" w:rsidRDefault="00D67B1A" w:rsidP="00D67B1A">
      <w:pPr>
        <w:jc w:val="center"/>
        <w:rPr>
          <w:b/>
          <w:sz w:val="28"/>
          <w:szCs w:val="28"/>
        </w:rPr>
      </w:pPr>
    </w:p>
    <w:p w:rsidR="000470E3" w:rsidRDefault="000470E3">
      <w:pPr>
        <w:spacing w:line="360" w:lineRule="auto"/>
        <w:ind w:firstLineChars="200" w:firstLine="420"/>
      </w:pPr>
      <w:r>
        <w:rPr>
          <w:rFonts w:hint="eastAsia"/>
        </w:rPr>
        <w:t>为更好的维护基金份额持有人的利益，大成基金管理有限公司（以下简称“本公司”）经与基金托管人</w:t>
      </w:r>
      <w:r w:rsidR="005A5A5C">
        <w:rPr>
          <w:rFonts w:hint="eastAsia"/>
        </w:rPr>
        <w:t>中国银行</w:t>
      </w:r>
      <w:r w:rsidR="006E61CE">
        <w:rPr>
          <w:rFonts w:hint="eastAsia"/>
        </w:rPr>
        <w:t>股份有限公司</w:t>
      </w:r>
      <w:r>
        <w:rPr>
          <w:rFonts w:hint="eastAsia"/>
        </w:rPr>
        <w:t>协商一致，决定于</w:t>
      </w:r>
      <w:r>
        <w:t>2024</w:t>
      </w:r>
      <w:r w:rsidRPr="005A1A31">
        <w:rPr>
          <w:rFonts w:hint="eastAsia"/>
        </w:rPr>
        <w:t>年</w:t>
      </w:r>
      <w:r w:rsidR="00AF65C2">
        <w:rPr>
          <w:rFonts w:hint="eastAsia"/>
        </w:rPr>
        <w:t>3</w:t>
      </w:r>
      <w:r w:rsidRPr="005A1A31">
        <w:rPr>
          <w:rFonts w:hint="eastAsia"/>
        </w:rPr>
        <w:t>月</w:t>
      </w:r>
      <w:bookmarkStart w:id="0" w:name="_GoBack"/>
      <w:r w:rsidR="00AF65C2" w:rsidRPr="00AF65C2">
        <w:t>21</w:t>
      </w:r>
      <w:r w:rsidRPr="00AF65C2">
        <w:rPr>
          <w:rFonts w:hint="eastAsia"/>
        </w:rPr>
        <w:t>日</w:t>
      </w:r>
      <w:bookmarkEnd w:id="0"/>
      <w:r w:rsidRPr="005A1A31">
        <w:rPr>
          <w:rFonts w:hint="eastAsia"/>
        </w:rPr>
        <w:t>起</w:t>
      </w:r>
      <w:r>
        <w:rPr>
          <w:rFonts w:hint="eastAsia"/>
        </w:rPr>
        <w:t>将托管在</w:t>
      </w:r>
      <w:r w:rsidR="005A5A5C">
        <w:rPr>
          <w:rFonts w:hint="eastAsia"/>
        </w:rPr>
        <w:t>中国银行</w:t>
      </w:r>
      <w:r w:rsidR="006E61CE">
        <w:rPr>
          <w:rFonts w:hint="eastAsia"/>
        </w:rPr>
        <w:t>股份有限公司</w:t>
      </w:r>
      <w:r>
        <w:rPr>
          <w:rFonts w:hint="eastAsia"/>
        </w:rPr>
        <w:t>的部分基金调整基金份额净值小数点保留位数，由</w:t>
      </w:r>
      <w:r w:rsidRPr="003848D3">
        <w:t>基金份额净值的计算保留到小数点后</w:t>
      </w:r>
      <w:r w:rsidRPr="003848D3">
        <w:rPr>
          <w:rFonts w:hint="eastAsia"/>
        </w:rPr>
        <w:t>3</w:t>
      </w:r>
      <w:r w:rsidRPr="003848D3">
        <w:t>位</w:t>
      </w:r>
      <w:r>
        <w:rPr>
          <w:rFonts w:hint="eastAsia"/>
        </w:rPr>
        <w:t>调整为</w:t>
      </w:r>
      <w:r w:rsidRPr="003848D3">
        <w:t>基金份额净值的计算保留到小数点后</w:t>
      </w:r>
      <w:r w:rsidRPr="003848D3">
        <w:rPr>
          <w:rFonts w:hint="eastAsia"/>
        </w:rPr>
        <w:t>4</w:t>
      </w:r>
      <w:r w:rsidRPr="003848D3">
        <w:t>位</w:t>
      </w:r>
      <w:r w:rsidRPr="005A1A31">
        <w:rPr>
          <w:rFonts w:hint="eastAsia"/>
        </w:rPr>
        <w:t>，并对</w:t>
      </w:r>
      <w:r>
        <w:rPr>
          <w:rFonts w:hint="eastAsia"/>
        </w:rPr>
        <w:t>相关基金的基金合同和托管协议</w:t>
      </w:r>
      <w:r w:rsidRPr="005A1A31">
        <w:rPr>
          <w:rFonts w:hint="eastAsia"/>
        </w:rPr>
        <w:t>及相关法律文件作相应修改。</w:t>
      </w:r>
    </w:p>
    <w:p w:rsidR="000470E3" w:rsidRDefault="000470E3">
      <w:pPr>
        <w:spacing w:line="360" w:lineRule="auto"/>
        <w:ind w:firstLineChars="200" w:firstLine="420"/>
      </w:pPr>
      <w:r>
        <w:t>一</w:t>
      </w:r>
      <w:r>
        <w:rPr>
          <w:rFonts w:hint="eastAsia"/>
        </w:rPr>
        <w:t>、</w:t>
      </w:r>
      <w:r>
        <w:t>涉及基金范围</w:t>
      </w:r>
    </w:p>
    <w:tbl>
      <w:tblPr>
        <w:tblStyle w:val="TableGrid"/>
        <w:tblW w:w="5000" w:type="pct"/>
        <w:tblInd w:w="0" w:type="dxa"/>
        <w:tblCellMar>
          <w:top w:w="56" w:type="dxa"/>
          <w:left w:w="108" w:type="dxa"/>
          <w:right w:w="2" w:type="dxa"/>
        </w:tblCellMar>
        <w:tblLook w:val="04A0"/>
      </w:tblPr>
      <w:tblGrid>
        <w:gridCol w:w="665"/>
        <w:gridCol w:w="6296"/>
        <w:gridCol w:w="1458"/>
      </w:tblGrid>
      <w:tr w:rsidR="000470E3" w:rsidTr="00FB674E">
        <w:trPr>
          <w:trHeight w:val="322"/>
        </w:trPr>
        <w:tc>
          <w:tcPr>
            <w:tcW w:w="395"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序号</w:t>
            </w:r>
          </w:p>
        </w:tc>
        <w:tc>
          <w:tcPr>
            <w:tcW w:w="3739"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基金名称</w:t>
            </w:r>
          </w:p>
        </w:tc>
        <w:tc>
          <w:tcPr>
            <w:tcW w:w="866" w:type="pct"/>
            <w:tcBorders>
              <w:top w:val="single" w:sz="4" w:space="0" w:color="000000"/>
              <w:left w:val="single" w:sz="4" w:space="0" w:color="000000"/>
              <w:bottom w:val="single" w:sz="4" w:space="0" w:color="000000"/>
              <w:right w:val="single" w:sz="4" w:space="0" w:color="000000"/>
            </w:tcBorders>
          </w:tcPr>
          <w:p w:rsidR="000470E3" w:rsidRDefault="000470E3" w:rsidP="000470E3">
            <w:pPr>
              <w:jc w:val="center"/>
            </w:pPr>
            <w:r>
              <w:rPr>
                <w:rFonts w:ascii="宋体" w:eastAsia="宋体" w:hAnsi="宋体" w:cs="宋体"/>
              </w:rPr>
              <w:t>基金代码</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1</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大成景润灵活配置混合型证券投资基金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001364</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2</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大成财富管理</w:t>
            </w:r>
            <w:r>
              <w:rPr>
                <w:rFonts w:ascii="Arial" w:hAnsi="Arial" w:cs="Arial"/>
                <w:color w:val="333333"/>
                <w:shd w:val="clear" w:color="auto" w:fill="FFFFFF"/>
              </w:rPr>
              <w:t>2020</w:t>
            </w:r>
            <w:r>
              <w:rPr>
                <w:rFonts w:ascii="Arial" w:hAnsi="Arial" w:cs="Arial"/>
                <w:color w:val="333333"/>
                <w:shd w:val="clear" w:color="auto" w:fill="FFFFFF"/>
              </w:rPr>
              <w:t>生命周期证券投资基金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090006</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3</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大成多策略灵活配置混合型证券投资基金（</w:t>
            </w:r>
            <w:r>
              <w:rPr>
                <w:rFonts w:ascii="Arial" w:hAnsi="Arial" w:cs="Arial"/>
                <w:color w:val="333333"/>
                <w:shd w:val="clear" w:color="auto" w:fill="FFFFFF"/>
              </w:rPr>
              <w:t>LOF</w:t>
            </w:r>
            <w:r>
              <w:rPr>
                <w:rFonts w:ascii="Arial" w:hAnsi="Arial" w:cs="Arial"/>
                <w:color w:val="333333"/>
                <w:shd w:val="clear" w:color="auto" w:fill="FFFFFF"/>
              </w:rPr>
              <w:t>）</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160921</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4</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大成中证</w:t>
            </w:r>
            <w:r>
              <w:rPr>
                <w:rFonts w:ascii="Arial" w:hAnsi="Arial" w:cs="Arial"/>
                <w:color w:val="333333"/>
                <w:shd w:val="clear" w:color="auto" w:fill="FFFFFF"/>
              </w:rPr>
              <w:t>100</w:t>
            </w:r>
            <w:r>
              <w:rPr>
                <w:rFonts w:ascii="Arial" w:hAnsi="Arial" w:cs="Arial"/>
                <w:color w:val="333333"/>
                <w:shd w:val="clear" w:color="auto" w:fill="FFFFFF"/>
              </w:rPr>
              <w:t>交易型开放式指数证券投资基金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159923</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5</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大成景恒混合型证券投资基金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090019</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6</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大成标普</w:t>
            </w:r>
            <w:r>
              <w:rPr>
                <w:rFonts w:ascii="Arial" w:hAnsi="Arial" w:cs="Arial"/>
                <w:color w:val="333333"/>
                <w:shd w:val="clear" w:color="auto" w:fill="FFFFFF"/>
              </w:rPr>
              <w:t>500</w:t>
            </w:r>
            <w:r>
              <w:rPr>
                <w:rFonts w:ascii="Arial" w:hAnsi="Arial" w:cs="Arial"/>
                <w:color w:val="333333"/>
                <w:shd w:val="clear" w:color="auto" w:fill="FFFFFF"/>
              </w:rPr>
              <w:t>等权重指数证券投资基金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096001</w:t>
            </w:r>
          </w:p>
        </w:tc>
      </w:tr>
      <w:tr w:rsidR="005F5E3A" w:rsidTr="009D22D7">
        <w:trPr>
          <w:trHeight w:val="322"/>
        </w:trPr>
        <w:tc>
          <w:tcPr>
            <w:tcW w:w="395" w:type="pct"/>
            <w:tcBorders>
              <w:top w:val="single" w:sz="4" w:space="0" w:color="000000"/>
              <w:left w:val="single" w:sz="4" w:space="0" w:color="000000"/>
              <w:bottom w:val="single" w:sz="4" w:space="0" w:color="000000"/>
              <w:right w:val="single" w:sz="4" w:space="0" w:color="000000"/>
            </w:tcBorders>
          </w:tcPr>
          <w:p w:rsidR="005F5E3A" w:rsidRDefault="005E6548" w:rsidP="005F5E3A">
            <w:pPr>
              <w:jc w:val="center"/>
              <w:rPr>
                <w:rFonts w:ascii="宋体" w:eastAsia="宋体" w:hAnsi="宋体" w:cs="宋体"/>
              </w:rPr>
            </w:pPr>
            <w:r>
              <w:rPr>
                <w:rFonts w:ascii="宋体" w:eastAsia="宋体" w:hAnsi="宋体" w:cs="宋体" w:hint="eastAsia"/>
              </w:rPr>
              <w:t>7</w:t>
            </w:r>
          </w:p>
        </w:tc>
        <w:tc>
          <w:tcPr>
            <w:tcW w:w="3739" w:type="pct"/>
            <w:tcBorders>
              <w:top w:val="single" w:sz="4" w:space="0" w:color="000000"/>
              <w:left w:val="single" w:sz="4" w:space="0" w:color="000000"/>
              <w:bottom w:val="single" w:sz="4" w:space="0" w:color="000000"/>
              <w:right w:val="single" w:sz="4" w:space="0" w:color="000000"/>
            </w:tcBorders>
          </w:tcPr>
          <w:p w:rsidR="005F5E3A" w:rsidRDefault="005F5E3A" w:rsidP="005F5E3A">
            <w:pPr>
              <w:jc w:val="center"/>
              <w:rPr>
                <w:rFonts w:ascii="Arial" w:hAnsi="Arial" w:cs="Arial"/>
                <w:color w:val="333333"/>
                <w:shd w:val="clear" w:color="auto" w:fill="FFFFFF"/>
              </w:rPr>
            </w:pPr>
            <w:r>
              <w:rPr>
                <w:rFonts w:ascii="Arial" w:hAnsi="Arial" w:cs="Arial"/>
                <w:color w:val="333333"/>
                <w:shd w:val="clear" w:color="auto" w:fill="FFFFFF"/>
              </w:rPr>
              <w:t>大成互联网思维混合型证券投资基金</w:t>
            </w:r>
          </w:p>
        </w:tc>
        <w:tc>
          <w:tcPr>
            <w:tcW w:w="866" w:type="pct"/>
            <w:tcBorders>
              <w:top w:val="single" w:sz="4" w:space="0" w:color="000000"/>
              <w:left w:val="single" w:sz="4" w:space="0" w:color="000000"/>
              <w:bottom w:val="single" w:sz="4" w:space="0" w:color="000000"/>
              <w:right w:val="single" w:sz="4" w:space="0" w:color="000000"/>
            </w:tcBorders>
            <w:vAlign w:val="bottom"/>
          </w:tcPr>
          <w:p w:rsidR="005F5E3A" w:rsidRPr="005F5E3A" w:rsidRDefault="005F5E3A" w:rsidP="005F5E3A">
            <w:pPr>
              <w:jc w:val="center"/>
              <w:rPr>
                <w:rFonts w:ascii="宋体" w:eastAsia="宋体" w:hAnsi="宋体" w:cs="宋体"/>
              </w:rPr>
            </w:pPr>
            <w:r w:rsidRPr="005F5E3A">
              <w:rPr>
                <w:rFonts w:ascii="宋体" w:eastAsia="宋体" w:hAnsi="宋体" w:cs="宋体"/>
              </w:rPr>
              <w:t>001144</w:t>
            </w:r>
          </w:p>
        </w:tc>
      </w:tr>
    </w:tbl>
    <w:p w:rsidR="000470E3" w:rsidRDefault="000470E3">
      <w:pPr>
        <w:spacing w:line="360" w:lineRule="auto"/>
        <w:ind w:firstLineChars="200" w:firstLine="420"/>
      </w:pPr>
      <w:r>
        <w:rPr>
          <w:rFonts w:hint="eastAsia"/>
        </w:rPr>
        <w:t>注：上述基金仅列示基金主代码</w:t>
      </w:r>
    </w:p>
    <w:p w:rsidR="000470E3" w:rsidRDefault="009C19FC">
      <w:pPr>
        <w:spacing w:line="360" w:lineRule="auto"/>
        <w:ind w:firstLineChars="200" w:firstLine="420"/>
      </w:pPr>
      <w:r>
        <w:rPr>
          <w:rFonts w:hint="eastAsia"/>
        </w:rPr>
        <w:t>二、调整方案</w:t>
      </w:r>
    </w:p>
    <w:p w:rsidR="009C19FC" w:rsidRDefault="009C19FC">
      <w:pPr>
        <w:spacing w:line="360" w:lineRule="auto"/>
        <w:ind w:firstLineChars="200" w:firstLine="420"/>
      </w:pPr>
      <w:r>
        <w:t>将</w:t>
      </w:r>
      <w:r w:rsidR="007C3956">
        <w:rPr>
          <w:rFonts w:hint="eastAsia"/>
        </w:rPr>
        <w:t>上述</w:t>
      </w:r>
      <w:r>
        <w:t>基金的各类基金份额净值由保留到小数点后第</w:t>
      </w:r>
      <w:r>
        <w:t>3</w:t>
      </w:r>
      <w:r>
        <w:t>位（</w:t>
      </w:r>
      <w:r>
        <w:t>0.001</w:t>
      </w:r>
      <w:r>
        <w:t>元）</w:t>
      </w:r>
      <w:r>
        <w:rPr>
          <w:rFonts w:hint="eastAsia"/>
        </w:rPr>
        <w:t>调整</w:t>
      </w:r>
      <w:r>
        <w:t>为保留到小数点后第</w:t>
      </w:r>
      <w:r>
        <w:t>4</w:t>
      </w:r>
      <w:r>
        <w:t>位（</w:t>
      </w:r>
      <w:r>
        <w:t>0.0001</w:t>
      </w:r>
      <w:r>
        <w:t>元）</w:t>
      </w:r>
      <w:r>
        <w:rPr>
          <w:rFonts w:hint="eastAsia"/>
        </w:rPr>
        <w:t>，</w:t>
      </w:r>
      <w:r w:rsidRPr="00E577D5">
        <w:rPr>
          <w:rFonts w:ascii="宋体" w:hAnsi="宋体" w:hint="eastAsia"/>
          <w:color w:val="000000"/>
          <w:kern w:val="0"/>
          <w:szCs w:val="21"/>
        </w:rPr>
        <w:t>小数点后第五位四舍五入</w:t>
      </w:r>
      <w:r>
        <w:t>。</w:t>
      </w:r>
    </w:p>
    <w:p w:rsidR="009C19FC" w:rsidRDefault="009C19FC">
      <w:pPr>
        <w:spacing w:line="360" w:lineRule="auto"/>
        <w:ind w:firstLineChars="200" w:firstLine="420"/>
      </w:pPr>
      <w:r>
        <w:rPr>
          <w:rFonts w:hint="eastAsia"/>
        </w:rPr>
        <w:t>三、</w:t>
      </w:r>
      <w:r>
        <w:t>修改相关基金的基金合同、托管协议相关条款</w:t>
      </w:r>
    </w:p>
    <w:p w:rsidR="009C19FC" w:rsidRDefault="009C19FC">
      <w:pPr>
        <w:spacing w:line="360" w:lineRule="auto"/>
        <w:ind w:firstLineChars="200" w:firstLine="420"/>
      </w:pPr>
      <w:r>
        <w:t>对</w:t>
      </w:r>
      <w:r w:rsidR="007C3956">
        <w:rPr>
          <w:rFonts w:hint="eastAsia"/>
        </w:rPr>
        <w:t>上述</w:t>
      </w:r>
      <w:r>
        <w:t>基金的基金合同和托管协议中涉及基金份额净值计算小数点后保留位数的相关条款</w:t>
      </w:r>
      <w:r w:rsidR="008803FA">
        <w:t>进行修改</w:t>
      </w:r>
      <w:r>
        <w:t>及更新</w:t>
      </w:r>
      <w:r w:rsidR="00960209">
        <w:rPr>
          <w:rFonts w:hint="eastAsia"/>
        </w:rPr>
        <w:t>部分基金</w:t>
      </w:r>
      <w:r w:rsidR="00960209" w:rsidRPr="00A5013B">
        <w:rPr>
          <w:rFonts w:hint="eastAsia"/>
        </w:rPr>
        <w:t>的</w:t>
      </w:r>
      <w:r>
        <w:t>基金管理人或基金托管人信息。</w:t>
      </w:r>
    </w:p>
    <w:p w:rsidR="009C19FC" w:rsidRPr="009C19FC" w:rsidRDefault="009C19FC">
      <w:pPr>
        <w:spacing w:line="360" w:lineRule="auto"/>
        <w:ind w:firstLineChars="200" w:firstLine="420"/>
      </w:pPr>
      <w:r>
        <w:t>各基金具体调整表述详见修订后的基金合同</w:t>
      </w:r>
      <w:r w:rsidR="00356CF1">
        <w:t>和托管协议</w:t>
      </w:r>
      <w:r>
        <w:t>。</w:t>
      </w:r>
    </w:p>
    <w:p w:rsidR="00356CF1" w:rsidRDefault="00356CF1" w:rsidP="00356CF1">
      <w:pPr>
        <w:spacing w:line="360" w:lineRule="auto"/>
        <w:ind w:firstLineChars="200" w:firstLine="420"/>
      </w:pPr>
      <w:r>
        <w:rPr>
          <w:rFonts w:hint="eastAsia"/>
        </w:rPr>
        <w:t>上述修订不涉及基金份额持有人权利义务关系的变化，对原有基金份额持有人的利益无实质性不利影响，不需要召开基金份额持有人大会。</w:t>
      </w:r>
    </w:p>
    <w:p w:rsidR="00356CF1" w:rsidRDefault="00356CF1" w:rsidP="00356CF1">
      <w:pPr>
        <w:spacing w:line="360" w:lineRule="auto"/>
        <w:ind w:firstLineChars="200" w:firstLine="420"/>
      </w:pPr>
      <w:r>
        <w:rPr>
          <w:rFonts w:hint="eastAsia"/>
        </w:rPr>
        <w:t>本基金管理人将在更新的上述基金招募说明书中，对上述相关内容进行相应修改。投资者欲了解基金信息请仔细阅读上述基金的基金合同、招募说明书及相关法律文件。</w:t>
      </w:r>
      <w:r>
        <w:rPr>
          <w:rFonts w:ascii="宋体" w:hAnsi="宋体"/>
          <w:szCs w:val="21"/>
        </w:rPr>
        <w:t>投资者可</w:t>
      </w:r>
      <w:r>
        <w:rPr>
          <w:rFonts w:ascii="宋体" w:hAnsi="宋体"/>
          <w:szCs w:val="21"/>
        </w:rPr>
        <w:lastRenderedPageBreak/>
        <w:t>拨打本公司的客户服务电话（400-888-5558）了解</w:t>
      </w:r>
      <w:r w:rsidR="006E61CE">
        <w:rPr>
          <w:rFonts w:ascii="宋体" w:hAnsi="宋体"/>
          <w:szCs w:val="21"/>
        </w:rPr>
        <w:t>相关</w:t>
      </w:r>
      <w:r>
        <w:rPr>
          <w:rFonts w:ascii="宋体" w:hAnsi="宋体"/>
          <w:szCs w:val="21"/>
        </w:rPr>
        <w:t>事宜，亦可通过本公司网站（www.dcfund.com.cn）</w:t>
      </w:r>
      <w:r>
        <w:rPr>
          <w:rFonts w:ascii="宋体" w:hAnsi="宋体" w:hint="eastAsia"/>
          <w:szCs w:val="21"/>
        </w:rPr>
        <w:t>了解相关信息</w:t>
      </w:r>
      <w:r>
        <w:rPr>
          <w:rFonts w:ascii="宋体" w:hAnsi="宋体"/>
          <w:szCs w:val="21"/>
        </w:rPr>
        <w:t>。</w:t>
      </w:r>
    </w:p>
    <w:p w:rsidR="00356CF1" w:rsidRDefault="00356CF1" w:rsidP="00356CF1">
      <w:pPr>
        <w:spacing w:line="360" w:lineRule="auto"/>
        <w:ind w:firstLineChars="200" w:firstLine="420"/>
        <w:jc w:val="left"/>
        <w:rPr>
          <w:rFonts w:ascii="宋体" w:hAnsi="宋体"/>
          <w:szCs w:val="21"/>
        </w:rPr>
      </w:pPr>
      <w:r w:rsidRPr="0030311E">
        <w:rPr>
          <w:rFonts w:ascii="宋体" w:hAnsi="宋体" w:hint="eastAsia"/>
          <w:szCs w:val="21"/>
        </w:rPr>
        <w:t>风险提示：</w:t>
      </w:r>
      <w:r w:rsidRPr="00ED1912">
        <w:rPr>
          <w:rFonts w:hint="eastAsia"/>
          <w:color w:val="252525"/>
        </w:rPr>
        <w:t>基金管理人承诺以诚实信用、勤勉尽责的原则管理和运用基金资产</w:t>
      </w:r>
      <w:r>
        <w:rPr>
          <w:rFonts w:hint="eastAsia"/>
          <w:color w:val="252525"/>
        </w:rPr>
        <w:t>，</w:t>
      </w:r>
      <w:r w:rsidRPr="00ED1912">
        <w:rPr>
          <w:rFonts w:hint="eastAsia"/>
          <w:color w:val="252525"/>
        </w:rPr>
        <w:t>但不保证基金一定盈利</w:t>
      </w:r>
      <w:r>
        <w:rPr>
          <w:rFonts w:hint="eastAsia"/>
          <w:color w:val="252525"/>
        </w:rPr>
        <w:t>，</w:t>
      </w:r>
      <w:r w:rsidRPr="00ED1912">
        <w:rPr>
          <w:rFonts w:hint="eastAsia"/>
          <w:color w:val="252525"/>
        </w:rPr>
        <w:t>也不保证最低收益。投资者投资于上述基金时应认真阅读上述基金的基金合同、招募说明书</w:t>
      </w:r>
      <w:r>
        <w:rPr>
          <w:rFonts w:asciiTheme="minorEastAsia" w:hAnsiTheme="minorEastAsia" w:hint="eastAsia"/>
          <w:color w:val="252525"/>
        </w:rPr>
        <w:t>、</w:t>
      </w:r>
      <w:r>
        <w:rPr>
          <w:rFonts w:hint="eastAsia"/>
          <w:color w:val="252525"/>
        </w:rPr>
        <w:t>产品资料概要</w:t>
      </w:r>
      <w:r w:rsidRPr="00ED1912">
        <w:rPr>
          <w:rFonts w:hint="eastAsia"/>
          <w:color w:val="252525"/>
        </w:rPr>
        <w:t>等</w:t>
      </w:r>
      <w:r>
        <w:rPr>
          <w:rFonts w:hint="eastAsia"/>
          <w:color w:val="252525"/>
        </w:rPr>
        <w:t>基金法律文件</w:t>
      </w:r>
      <w:r>
        <w:rPr>
          <w:rFonts w:asciiTheme="minorEastAsia" w:hAnsiTheme="minorEastAsia" w:hint="eastAsia"/>
          <w:color w:val="252525"/>
        </w:rPr>
        <w:t>，</w:t>
      </w:r>
      <w:r w:rsidRPr="00ED1912">
        <w:rPr>
          <w:rFonts w:asciiTheme="minorEastAsia" w:hAnsiTheme="minorEastAsia" w:hint="eastAsia"/>
          <w:color w:val="252525"/>
        </w:rPr>
        <w:t>了解基金的风险收益特征，</w:t>
      </w:r>
      <w:r>
        <w:rPr>
          <w:rFonts w:hint="eastAsia"/>
          <w:szCs w:val="21"/>
        </w:rPr>
        <w:t>并选择适合自身风险承受能力的投资品种进行投资</w:t>
      </w:r>
      <w:r w:rsidRPr="00ED1912">
        <w:rPr>
          <w:rFonts w:asciiTheme="minorEastAsia" w:hAnsiTheme="minorEastAsia" w:hint="eastAsia"/>
          <w:color w:val="252525"/>
        </w:rPr>
        <w:t>。</w:t>
      </w:r>
      <w:r w:rsidRPr="00ED1912">
        <w:rPr>
          <w:rFonts w:hint="eastAsia"/>
          <w:color w:val="252525"/>
        </w:rPr>
        <w:t>敬请投资者注意投资风险。</w:t>
      </w:r>
    </w:p>
    <w:p w:rsidR="00356CF1" w:rsidRPr="00E72359" w:rsidRDefault="00356CF1" w:rsidP="00356CF1">
      <w:pPr>
        <w:spacing w:line="360" w:lineRule="auto"/>
        <w:ind w:firstLineChars="200" w:firstLine="420"/>
      </w:pPr>
    </w:p>
    <w:p w:rsidR="00356CF1" w:rsidRDefault="00356CF1" w:rsidP="00356CF1">
      <w:pPr>
        <w:ind w:firstLineChars="200" w:firstLine="420"/>
      </w:pPr>
      <w:r>
        <w:rPr>
          <w:rFonts w:hint="eastAsia"/>
        </w:rPr>
        <w:t>特此公告。</w:t>
      </w:r>
      <w:r>
        <w:rPr>
          <w:rFonts w:hint="eastAsia"/>
        </w:rPr>
        <w:t xml:space="preserve">                                                    </w:t>
      </w:r>
    </w:p>
    <w:p w:rsidR="00356CF1" w:rsidRDefault="00356CF1" w:rsidP="00356CF1">
      <w:pPr>
        <w:ind w:firstLineChars="200" w:firstLine="420"/>
      </w:pPr>
    </w:p>
    <w:p w:rsidR="00356CF1" w:rsidRDefault="00356CF1" w:rsidP="00356CF1">
      <w:pPr>
        <w:ind w:firstLineChars="200" w:firstLine="420"/>
      </w:pPr>
    </w:p>
    <w:p w:rsidR="00356CF1" w:rsidRDefault="00356CF1" w:rsidP="00356CF1">
      <w:pPr>
        <w:ind w:firstLineChars="2800" w:firstLine="5880"/>
      </w:pPr>
      <w:r>
        <w:rPr>
          <w:rFonts w:hint="eastAsia"/>
        </w:rPr>
        <w:t xml:space="preserve"> </w:t>
      </w:r>
      <w:r>
        <w:rPr>
          <w:rFonts w:hint="eastAsia"/>
        </w:rPr>
        <w:t>大成基金管理有限公司</w:t>
      </w:r>
    </w:p>
    <w:p w:rsidR="00356CF1" w:rsidRDefault="00356CF1" w:rsidP="00356CF1">
      <w:pPr>
        <w:ind w:firstLineChars="200" w:firstLine="420"/>
      </w:pPr>
      <w:r>
        <w:rPr>
          <w:rFonts w:hint="eastAsia"/>
        </w:rPr>
        <w:t xml:space="preserve">                                                     </w:t>
      </w:r>
      <w:r>
        <w:t xml:space="preserve">  2024</w:t>
      </w:r>
      <w:r w:rsidRPr="005A1A31">
        <w:rPr>
          <w:rFonts w:hint="eastAsia"/>
        </w:rPr>
        <w:t>年</w:t>
      </w:r>
      <w:r w:rsidR="00AF65C2">
        <w:rPr>
          <w:rFonts w:hint="eastAsia"/>
        </w:rPr>
        <w:t>3</w:t>
      </w:r>
      <w:r w:rsidRPr="005A1A31">
        <w:rPr>
          <w:rFonts w:hint="eastAsia"/>
        </w:rPr>
        <w:t>月</w:t>
      </w:r>
      <w:r w:rsidR="00AF65C2" w:rsidRPr="00AF65C2">
        <w:t>19</w:t>
      </w:r>
      <w:r w:rsidRPr="00AF65C2">
        <w:rPr>
          <w:rFonts w:hint="eastAsia"/>
        </w:rPr>
        <w:t>日</w:t>
      </w:r>
    </w:p>
    <w:sectPr w:rsidR="00356CF1" w:rsidSect="00C53460">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42969" w16cid:durableId="29886316"/>
  <w16cid:commentId w16cid:paraId="7567FE1F" w16cid:durableId="298864E9"/>
  <w16cid:commentId w16cid:paraId="3DA6D2AB" w16cid:durableId="2988632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6EF" w:rsidRDefault="00B476EF">
      <w:r>
        <w:separator/>
      </w:r>
    </w:p>
  </w:endnote>
  <w:endnote w:type="continuationSeparator" w:id="0">
    <w:p w:rsidR="00B476EF" w:rsidRDefault="00B47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28503"/>
    </w:sdtPr>
    <w:sdtContent>
      <w:p w:rsidR="000470E3" w:rsidRDefault="00C53460">
        <w:pPr>
          <w:pStyle w:val="a6"/>
          <w:jc w:val="center"/>
        </w:pPr>
        <w:r>
          <w:fldChar w:fldCharType="begin"/>
        </w:r>
        <w:r w:rsidR="000470E3">
          <w:instrText>PAGE   \* MERGEFORMAT</w:instrText>
        </w:r>
        <w:r>
          <w:fldChar w:fldCharType="separate"/>
        </w:r>
        <w:r w:rsidR="00CA57C1" w:rsidRPr="00CA57C1">
          <w:rPr>
            <w:noProof/>
            <w:lang w:val="zh-CN"/>
          </w:rPr>
          <w:t>1</w:t>
        </w:r>
        <w:r>
          <w:fldChar w:fldCharType="end"/>
        </w:r>
      </w:p>
    </w:sdtContent>
  </w:sdt>
  <w:p w:rsidR="000470E3" w:rsidRDefault="000470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6EF" w:rsidRDefault="00B476EF">
      <w:r>
        <w:separator/>
      </w:r>
    </w:p>
  </w:footnote>
  <w:footnote w:type="continuationSeparator" w:id="0">
    <w:p w:rsidR="00B476EF" w:rsidRDefault="00B47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YxOWZjY2M4NDc4ZDg2YTBhOTlmN2NhODYzMGRkOTAifQ=="/>
  </w:docVars>
  <w:rsids>
    <w:rsidRoot w:val="00132357"/>
    <w:rsid w:val="0000617D"/>
    <w:rsid w:val="000274FB"/>
    <w:rsid w:val="00033D83"/>
    <w:rsid w:val="000377E2"/>
    <w:rsid w:val="000377EB"/>
    <w:rsid w:val="000470E3"/>
    <w:rsid w:val="00050411"/>
    <w:rsid w:val="000540A5"/>
    <w:rsid w:val="00054735"/>
    <w:rsid w:val="00063E11"/>
    <w:rsid w:val="0006424A"/>
    <w:rsid w:val="0006764A"/>
    <w:rsid w:val="00070D7F"/>
    <w:rsid w:val="00076884"/>
    <w:rsid w:val="00076D0F"/>
    <w:rsid w:val="000823C2"/>
    <w:rsid w:val="000930E9"/>
    <w:rsid w:val="000A6828"/>
    <w:rsid w:val="000B79BB"/>
    <w:rsid w:val="000C4FD4"/>
    <w:rsid w:val="000D25C0"/>
    <w:rsid w:val="000F2CF2"/>
    <w:rsid w:val="000F57BA"/>
    <w:rsid w:val="0010216C"/>
    <w:rsid w:val="00104696"/>
    <w:rsid w:val="00105903"/>
    <w:rsid w:val="0010794C"/>
    <w:rsid w:val="00114609"/>
    <w:rsid w:val="00127582"/>
    <w:rsid w:val="00132357"/>
    <w:rsid w:val="00132DB9"/>
    <w:rsid w:val="00136F4B"/>
    <w:rsid w:val="00140601"/>
    <w:rsid w:val="00153F74"/>
    <w:rsid w:val="00174C57"/>
    <w:rsid w:val="001779D7"/>
    <w:rsid w:val="0019018C"/>
    <w:rsid w:val="00192CC8"/>
    <w:rsid w:val="001970F0"/>
    <w:rsid w:val="001A7647"/>
    <w:rsid w:val="001C44F1"/>
    <w:rsid w:val="001D0CEA"/>
    <w:rsid w:val="001E1E34"/>
    <w:rsid w:val="001E746C"/>
    <w:rsid w:val="002224CB"/>
    <w:rsid w:val="00223B8B"/>
    <w:rsid w:val="00224ED0"/>
    <w:rsid w:val="002335CF"/>
    <w:rsid w:val="002364A7"/>
    <w:rsid w:val="002573D7"/>
    <w:rsid w:val="002679C4"/>
    <w:rsid w:val="00271FF6"/>
    <w:rsid w:val="0027567E"/>
    <w:rsid w:val="002769B1"/>
    <w:rsid w:val="002804A9"/>
    <w:rsid w:val="0028554A"/>
    <w:rsid w:val="00285D8B"/>
    <w:rsid w:val="00292B76"/>
    <w:rsid w:val="002A0ED4"/>
    <w:rsid w:val="002B2F3D"/>
    <w:rsid w:val="002B4DC4"/>
    <w:rsid w:val="002C18B0"/>
    <w:rsid w:val="002D0177"/>
    <w:rsid w:val="002D1F64"/>
    <w:rsid w:val="002D389C"/>
    <w:rsid w:val="002D5039"/>
    <w:rsid w:val="002E3CFD"/>
    <w:rsid w:val="002F28E4"/>
    <w:rsid w:val="00313858"/>
    <w:rsid w:val="00316EB7"/>
    <w:rsid w:val="00350CD3"/>
    <w:rsid w:val="00354AAF"/>
    <w:rsid w:val="00355487"/>
    <w:rsid w:val="00356CF1"/>
    <w:rsid w:val="00376098"/>
    <w:rsid w:val="0038202E"/>
    <w:rsid w:val="003906D9"/>
    <w:rsid w:val="00390765"/>
    <w:rsid w:val="00391AC3"/>
    <w:rsid w:val="00393DF1"/>
    <w:rsid w:val="003A20B4"/>
    <w:rsid w:val="003A776F"/>
    <w:rsid w:val="003A7D95"/>
    <w:rsid w:val="003A7DED"/>
    <w:rsid w:val="003C609E"/>
    <w:rsid w:val="003D56F0"/>
    <w:rsid w:val="003D6D28"/>
    <w:rsid w:val="003E09FE"/>
    <w:rsid w:val="003E7C95"/>
    <w:rsid w:val="003F74CE"/>
    <w:rsid w:val="004010FF"/>
    <w:rsid w:val="004325E9"/>
    <w:rsid w:val="004419A3"/>
    <w:rsid w:val="004620AD"/>
    <w:rsid w:val="00464163"/>
    <w:rsid w:val="0046638D"/>
    <w:rsid w:val="00481DC1"/>
    <w:rsid w:val="00487032"/>
    <w:rsid w:val="00491DE9"/>
    <w:rsid w:val="00493C3E"/>
    <w:rsid w:val="0049632A"/>
    <w:rsid w:val="00496845"/>
    <w:rsid w:val="00497380"/>
    <w:rsid w:val="004A1951"/>
    <w:rsid w:val="004B45E0"/>
    <w:rsid w:val="004B655A"/>
    <w:rsid w:val="004C2E4C"/>
    <w:rsid w:val="004C36FF"/>
    <w:rsid w:val="004D38C4"/>
    <w:rsid w:val="004F681F"/>
    <w:rsid w:val="004F774F"/>
    <w:rsid w:val="00501459"/>
    <w:rsid w:val="00510B32"/>
    <w:rsid w:val="005204B8"/>
    <w:rsid w:val="005269A9"/>
    <w:rsid w:val="00533EFD"/>
    <w:rsid w:val="005370A5"/>
    <w:rsid w:val="00540A72"/>
    <w:rsid w:val="00541941"/>
    <w:rsid w:val="00543D4A"/>
    <w:rsid w:val="00550285"/>
    <w:rsid w:val="00553146"/>
    <w:rsid w:val="00563ABB"/>
    <w:rsid w:val="00575066"/>
    <w:rsid w:val="00594BB3"/>
    <w:rsid w:val="00596A5D"/>
    <w:rsid w:val="005A0FD0"/>
    <w:rsid w:val="005A3BB6"/>
    <w:rsid w:val="005A5A5C"/>
    <w:rsid w:val="005C20B3"/>
    <w:rsid w:val="005C6EAF"/>
    <w:rsid w:val="005D5535"/>
    <w:rsid w:val="005E6548"/>
    <w:rsid w:val="005F5342"/>
    <w:rsid w:val="005F5E3A"/>
    <w:rsid w:val="0060233F"/>
    <w:rsid w:val="00606D85"/>
    <w:rsid w:val="0060719F"/>
    <w:rsid w:val="00607E8F"/>
    <w:rsid w:val="00614769"/>
    <w:rsid w:val="006155E6"/>
    <w:rsid w:val="0061581A"/>
    <w:rsid w:val="00635B29"/>
    <w:rsid w:val="006413CE"/>
    <w:rsid w:val="006549F0"/>
    <w:rsid w:val="00674640"/>
    <w:rsid w:val="00697EFD"/>
    <w:rsid w:val="006A2A7E"/>
    <w:rsid w:val="006B21CF"/>
    <w:rsid w:val="006D393E"/>
    <w:rsid w:val="006E61CE"/>
    <w:rsid w:val="00706B4F"/>
    <w:rsid w:val="00707F6C"/>
    <w:rsid w:val="00710ACA"/>
    <w:rsid w:val="00713670"/>
    <w:rsid w:val="00715F35"/>
    <w:rsid w:val="00716D59"/>
    <w:rsid w:val="00717124"/>
    <w:rsid w:val="007173FD"/>
    <w:rsid w:val="00721283"/>
    <w:rsid w:val="00725532"/>
    <w:rsid w:val="007255C0"/>
    <w:rsid w:val="00731E24"/>
    <w:rsid w:val="00731E52"/>
    <w:rsid w:val="007331B2"/>
    <w:rsid w:val="00746F4C"/>
    <w:rsid w:val="007513FB"/>
    <w:rsid w:val="00786D6F"/>
    <w:rsid w:val="007914EE"/>
    <w:rsid w:val="007955D9"/>
    <w:rsid w:val="007962D0"/>
    <w:rsid w:val="007A2FC6"/>
    <w:rsid w:val="007A60AB"/>
    <w:rsid w:val="007B7D03"/>
    <w:rsid w:val="007C23B3"/>
    <w:rsid w:val="007C3956"/>
    <w:rsid w:val="007C57D6"/>
    <w:rsid w:val="007E0558"/>
    <w:rsid w:val="007F386B"/>
    <w:rsid w:val="007F7C7C"/>
    <w:rsid w:val="00810830"/>
    <w:rsid w:val="00813C52"/>
    <w:rsid w:val="0081572D"/>
    <w:rsid w:val="008343EE"/>
    <w:rsid w:val="008407DD"/>
    <w:rsid w:val="00841593"/>
    <w:rsid w:val="00843620"/>
    <w:rsid w:val="0087500E"/>
    <w:rsid w:val="008803FA"/>
    <w:rsid w:val="00880ADE"/>
    <w:rsid w:val="008B7FF1"/>
    <w:rsid w:val="008D3AF0"/>
    <w:rsid w:val="008E076D"/>
    <w:rsid w:val="008E4ECB"/>
    <w:rsid w:val="008E56A9"/>
    <w:rsid w:val="008F5E65"/>
    <w:rsid w:val="00920FFB"/>
    <w:rsid w:val="00922B5F"/>
    <w:rsid w:val="00923F2B"/>
    <w:rsid w:val="0092781E"/>
    <w:rsid w:val="00932224"/>
    <w:rsid w:val="00935342"/>
    <w:rsid w:val="00935379"/>
    <w:rsid w:val="00943CC1"/>
    <w:rsid w:val="0094654A"/>
    <w:rsid w:val="00947AE6"/>
    <w:rsid w:val="00960209"/>
    <w:rsid w:val="00963CDD"/>
    <w:rsid w:val="00971998"/>
    <w:rsid w:val="00974368"/>
    <w:rsid w:val="00974976"/>
    <w:rsid w:val="0098426F"/>
    <w:rsid w:val="0098733E"/>
    <w:rsid w:val="00987C71"/>
    <w:rsid w:val="009946D1"/>
    <w:rsid w:val="009C04FB"/>
    <w:rsid w:val="009C19FC"/>
    <w:rsid w:val="009E081D"/>
    <w:rsid w:val="009E6774"/>
    <w:rsid w:val="009F216B"/>
    <w:rsid w:val="009F3580"/>
    <w:rsid w:val="00A0143B"/>
    <w:rsid w:val="00A0161E"/>
    <w:rsid w:val="00A12347"/>
    <w:rsid w:val="00A40C89"/>
    <w:rsid w:val="00A41307"/>
    <w:rsid w:val="00A5535D"/>
    <w:rsid w:val="00A727F5"/>
    <w:rsid w:val="00A74F16"/>
    <w:rsid w:val="00A906F3"/>
    <w:rsid w:val="00A91E09"/>
    <w:rsid w:val="00A92265"/>
    <w:rsid w:val="00A940E8"/>
    <w:rsid w:val="00AA0CFA"/>
    <w:rsid w:val="00AA63D6"/>
    <w:rsid w:val="00AB3B23"/>
    <w:rsid w:val="00AB5549"/>
    <w:rsid w:val="00AB7C19"/>
    <w:rsid w:val="00AC058E"/>
    <w:rsid w:val="00AC64E6"/>
    <w:rsid w:val="00AD17BF"/>
    <w:rsid w:val="00AD484A"/>
    <w:rsid w:val="00AD5C5E"/>
    <w:rsid w:val="00AD5CB6"/>
    <w:rsid w:val="00AE57DC"/>
    <w:rsid w:val="00AF65C2"/>
    <w:rsid w:val="00B07614"/>
    <w:rsid w:val="00B10717"/>
    <w:rsid w:val="00B11207"/>
    <w:rsid w:val="00B140E9"/>
    <w:rsid w:val="00B24FDA"/>
    <w:rsid w:val="00B402D2"/>
    <w:rsid w:val="00B412EC"/>
    <w:rsid w:val="00B447AA"/>
    <w:rsid w:val="00B45023"/>
    <w:rsid w:val="00B47398"/>
    <w:rsid w:val="00B476EF"/>
    <w:rsid w:val="00B50FDE"/>
    <w:rsid w:val="00B56D5E"/>
    <w:rsid w:val="00B72415"/>
    <w:rsid w:val="00B73F4A"/>
    <w:rsid w:val="00B74614"/>
    <w:rsid w:val="00B81597"/>
    <w:rsid w:val="00B81DFD"/>
    <w:rsid w:val="00B829BD"/>
    <w:rsid w:val="00B85891"/>
    <w:rsid w:val="00B90A48"/>
    <w:rsid w:val="00B91CAD"/>
    <w:rsid w:val="00B94EDE"/>
    <w:rsid w:val="00BA18FC"/>
    <w:rsid w:val="00BC2EFA"/>
    <w:rsid w:val="00BD7D4A"/>
    <w:rsid w:val="00BE3877"/>
    <w:rsid w:val="00BE476F"/>
    <w:rsid w:val="00BE5357"/>
    <w:rsid w:val="00BF59BE"/>
    <w:rsid w:val="00C05906"/>
    <w:rsid w:val="00C20F00"/>
    <w:rsid w:val="00C31943"/>
    <w:rsid w:val="00C41346"/>
    <w:rsid w:val="00C53082"/>
    <w:rsid w:val="00C53460"/>
    <w:rsid w:val="00C5569E"/>
    <w:rsid w:val="00C62547"/>
    <w:rsid w:val="00C631F7"/>
    <w:rsid w:val="00C7250F"/>
    <w:rsid w:val="00C73173"/>
    <w:rsid w:val="00C82D8B"/>
    <w:rsid w:val="00C90B02"/>
    <w:rsid w:val="00C95CA7"/>
    <w:rsid w:val="00C970E8"/>
    <w:rsid w:val="00CA2CBA"/>
    <w:rsid w:val="00CA57C1"/>
    <w:rsid w:val="00CA5EE0"/>
    <w:rsid w:val="00CB5753"/>
    <w:rsid w:val="00CC05D1"/>
    <w:rsid w:val="00CC25C5"/>
    <w:rsid w:val="00CC285B"/>
    <w:rsid w:val="00CC34D7"/>
    <w:rsid w:val="00CC3E69"/>
    <w:rsid w:val="00CD194C"/>
    <w:rsid w:val="00CD2CA8"/>
    <w:rsid w:val="00CD3404"/>
    <w:rsid w:val="00CD4293"/>
    <w:rsid w:val="00CD678F"/>
    <w:rsid w:val="00CE0143"/>
    <w:rsid w:val="00CE513A"/>
    <w:rsid w:val="00CF2A1F"/>
    <w:rsid w:val="00CF6FB4"/>
    <w:rsid w:val="00D130A7"/>
    <w:rsid w:val="00D1365B"/>
    <w:rsid w:val="00D20635"/>
    <w:rsid w:val="00D26B4F"/>
    <w:rsid w:val="00D365A6"/>
    <w:rsid w:val="00D46ADC"/>
    <w:rsid w:val="00D5260A"/>
    <w:rsid w:val="00D60DE8"/>
    <w:rsid w:val="00D62A17"/>
    <w:rsid w:val="00D67B1A"/>
    <w:rsid w:val="00D86584"/>
    <w:rsid w:val="00D87C91"/>
    <w:rsid w:val="00DA515B"/>
    <w:rsid w:val="00DA62BB"/>
    <w:rsid w:val="00DA6B1B"/>
    <w:rsid w:val="00DB0626"/>
    <w:rsid w:val="00DB73C6"/>
    <w:rsid w:val="00DD07A8"/>
    <w:rsid w:val="00DD43D6"/>
    <w:rsid w:val="00DE6022"/>
    <w:rsid w:val="00DF2CC9"/>
    <w:rsid w:val="00E07F6F"/>
    <w:rsid w:val="00E4430F"/>
    <w:rsid w:val="00E467C9"/>
    <w:rsid w:val="00E5034E"/>
    <w:rsid w:val="00E52C30"/>
    <w:rsid w:val="00E5367A"/>
    <w:rsid w:val="00E55467"/>
    <w:rsid w:val="00E56F36"/>
    <w:rsid w:val="00E62C70"/>
    <w:rsid w:val="00E63BCC"/>
    <w:rsid w:val="00E71860"/>
    <w:rsid w:val="00E855BB"/>
    <w:rsid w:val="00E86DAC"/>
    <w:rsid w:val="00E92EF9"/>
    <w:rsid w:val="00EA0880"/>
    <w:rsid w:val="00EA1CFF"/>
    <w:rsid w:val="00EB4998"/>
    <w:rsid w:val="00ED6BDF"/>
    <w:rsid w:val="00EF27FA"/>
    <w:rsid w:val="00F037FE"/>
    <w:rsid w:val="00F04FBD"/>
    <w:rsid w:val="00F05B95"/>
    <w:rsid w:val="00F21261"/>
    <w:rsid w:val="00F249E6"/>
    <w:rsid w:val="00F251E8"/>
    <w:rsid w:val="00F3128F"/>
    <w:rsid w:val="00F47579"/>
    <w:rsid w:val="00F56D5E"/>
    <w:rsid w:val="00F578F1"/>
    <w:rsid w:val="00F61BAA"/>
    <w:rsid w:val="00F74F2A"/>
    <w:rsid w:val="00F831E7"/>
    <w:rsid w:val="00F942CD"/>
    <w:rsid w:val="00FA5606"/>
    <w:rsid w:val="00FB674E"/>
    <w:rsid w:val="00FC1ABC"/>
    <w:rsid w:val="00FC451C"/>
    <w:rsid w:val="00FD3667"/>
    <w:rsid w:val="00FD530D"/>
    <w:rsid w:val="00FE43B4"/>
    <w:rsid w:val="00FE4E33"/>
    <w:rsid w:val="00FF3779"/>
    <w:rsid w:val="5CE2C487"/>
    <w:rsid w:val="759E72C6"/>
    <w:rsid w:val="79951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Body Text 2" w:semiHidden="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53460"/>
    <w:rPr>
      <w:rFonts w:ascii="宋体" w:eastAsia="宋体"/>
      <w:sz w:val="18"/>
      <w:szCs w:val="18"/>
    </w:rPr>
  </w:style>
  <w:style w:type="paragraph" w:styleId="a4">
    <w:name w:val="annotation text"/>
    <w:basedOn w:val="a"/>
    <w:link w:val="Char0"/>
    <w:unhideWhenUsed/>
    <w:qFormat/>
    <w:rsid w:val="00C53460"/>
    <w:pPr>
      <w:jc w:val="left"/>
    </w:pPr>
  </w:style>
  <w:style w:type="paragraph" w:styleId="a5">
    <w:name w:val="Balloon Text"/>
    <w:basedOn w:val="a"/>
    <w:link w:val="Char1"/>
    <w:uiPriority w:val="99"/>
    <w:semiHidden/>
    <w:unhideWhenUsed/>
    <w:qFormat/>
    <w:rsid w:val="00C53460"/>
    <w:rPr>
      <w:sz w:val="18"/>
      <w:szCs w:val="18"/>
    </w:rPr>
  </w:style>
  <w:style w:type="paragraph" w:styleId="a6">
    <w:name w:val="footer"/>
    <w:basedOn w:val="a"/>
    <w:link w:val="Char2"/>
    <w:uiPriority w:val="99"/>
    <w:unhideWhenUsed/>
    <w:qFormat/>
    <w:rsid w:val="00C5346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5346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C53460"/>
    <w:pPr>
      <w:spacing w:line="400" w:lineRule="atLeast"/>
      <w:ind w:firstLineChars="100" w:firstLine="600"/>
    </w:pPr>
    <w:rPr>
      <w:rFonts w:ascii="宋体" w:eastAsia="仿宋_GB2312" w:hAnsi="Times New Roman" w:cs="Times New Roman" w:hint="eastAsia"/>
      <w:sz w:val="28"/>
      <w:szCs w:val="20"/>
    </w:rPr>
  </w:style>
  <w:style w:type="paragraph" w:styleId="2">
    <w:name w:val="Body Text 2"/>
    <w:basedOn w:val="a"/>
    <w:link w:val="2Char"/>
    <w:uiPriority w:val="99"/>
    <w:unhideWhenUsed/>
    <w:qFormat/>
    <w:rsid w:val="00C53460"/>
    <w:pPr>
      <w:spacing w:after="120" w:line="480" w:lineRule="auto"/>
    </w:pPr>
  </w:style>
  <w:style w:type="paragraph" w:styleId="a8">
    <w:name w:val="Normal (Web)"/>
    <w:basedOn w:val="a"/>
    <w:uiPriority w:val="99"/>
    <w:qFormat/>
    <w:rsid w:val="00C53460"/>
    <w:pPr>
      <w:widowControl/>
      <w:spacing w:before="100" w:beforeAutospacing="1" w:after="100" w:afterAutospacing="1"/>
      <w:jc w:val="left"/>
    </w:pPr>
    <w:rPr>
      <w:rFonts w:ascii="Arial Unicode MS" w:eastAsia="Arial Unicode MS" w:hAnsi="Arial Unicode MS" w:cs="Arial Unicode MS" w:hint="eastAsia"/>
      <w:color w:val="000000"/>
      <w:kern w:val="0"/>
      <w:sz w:val="24"/>
      <w:szCs w:val="24"/>
    </w:rPr>
  </w:style>
  <w:style w:type="paragraph" w:styleId="a9">
    <w:name w:val="annotation subject"/>
    <w:basedOn w:val="a4"/>
    <w:next w:val="a4"/>
    <w:link w:val="Char4"/>
    <w:uiPriority w:val="99"/>
    <w:semiHidden/>
    <w:unhideWhenUsed/>
    <w:qFormat/>
    <w:rsid w:val="00C53460"/>
    <w:rPr>
      <w:b/>
      <w:bCs/>
    </w:rPr>
  </w:style>
  <w:style w:type="table" w:styleId="aa">
    <w:name w:val="Table Grid"/>
    <w:basedOn w:val="a1"/>
    <w:uiPriority w:val="59"/>
    <w:qFormat/>
    <w:rsid w:val="00C534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uiPriority w:val="22"/>
    <w:qFormat/>
    <w:rsid w:val="00C53460"/>
    <w:rPr>
      <w:b/>
      <w:bCs/>
    </w:rPr>
  </w:style>
  <w:style w:type="character" w:styleId="ac">
    <w:name w:val="annotation reference"/>
    <w:basedOn w:val="a0"/>
    <w:unhideWhenUsed/>
    <w:qFormat/>
    <w:rsid w:val="00C53460"/>
    <w:rPr>
      <w:sz w:val="21"/>
      <w:szCs w:val="21"/>
    </w:rPr>
  </w:style>
  <w:style w:type="character" w:customStyle="1" w:styleId="Char0">
    <w:name w:val="批注文字 Char"/>
    <w:basedOn w:val="a0"/>
    <w:link w:val="a4"/>
    <w:qFormat/>
    <w:rsid w:val="00C53460"/>
  </w:style>
  <w:style w:type="character" w:customStyle="1" w:styleId="Char4">
    <w:name w:val="批注主题 Char"/>
    <w:basedOn w:val="Char0"/>
    <w:link w:val="a9"/>
    <w:uiPriority w:val="99"/>
    <w:semiHidden/>
    <w:qFormat/>
    <w:rsid w:val="00C53460"/>
    <w:rPr>
      <w:b/>
      <w:bCs/>
    </w:rPr>
  </w:style>
  <w:style w:type="character" w:customStyle="1" w:styleId="Char1">
    <w:name w:val="批注框文本 Char"/>
    <w:basedOn w:val="a0"/>
    <w:link w:val="a5"/>
    <w:uiPriority w:val="99"/>
    <w:semiHidden/>
    <w:qFormat/>
    <w:rsid w:val="00C53460"/>
    <w:rPr>
      <w:sz w:val="18"/>
      <w:szCs w:val="18"/>
    </w:rPr>
  </w:style>
  <w:style w:type="character" w:customStyle="1" w:styleId="Char3">
    <w:name w:val="页眉 Char"/>
    <w:basedOn w:val="a0"/>
    <w:link w:val="a7"/>
    <w:uiPriority w:val="99"/>
    <w:qFormat/>
    <w:rsid w:val="00C53460"/>
    <w:rPr>
      <w:sz w:val="18"/>
      <w:szCs w:val="18"/>
    </w:rPr>
  </w:style>
  <w:style w:type="character" w:customStyle="1" w:styleId="Char2">
    <w:name w:val="页脚 Char"/>
    <w:basedOn w:val="a0"/>
    <w:link w:val="a6"/>
    <w:uiPriority w:val="99"/>
    <w:qFormat/>
    <w:rsid w:val="00C53460"/>
    <w:rPr>
      <w:sz w:val="18"/>
      <w:szCs w:val="18"/>
    </w:rPr>
  </w:style>
  <w:style w:type="paragraph" w:customStyle="1" w:styleId="1">
    <w:name w:val="修订1"/>
    <w:hidden/>
    <w:uiPriority w:val="99"/>
    <w:semiHidden/>
    <w:qFormat/>
    <w:rsid w:val="00C53460"/>
    <w:rPr>
      <w:kern w:val="2"/>
      <w:sz w:val="21"/>
      <w:szCs w:val="22"/>
    </w:rPr>
  </w:style>
  <w:style w:type="paragraph" w:customStyle="1" w:styleId="tl1">
    <w:name w:val="tl1"/>
    <w:basedOn w:val="a"/>
    <w:qFormat/>
    <w:rsid w:val="00C53460"/>
    <w:pPr>
      <w:widowControl/>
      <w:jc w:val="center"/>
    </w:pPr>
    <w:rPr>
      <w:rFonts w:ascii="黑体" w:eastAsia="黑体" w:hAnsi="黑体" w:cs="Arial"/>
      <w:color w:val="003F8E"/>
      <w:kern w:val="0"/>
      <w:sz w:val="15"/>
      <w:szCs w:val="15"/>
    </w:rPr>
  </w:style>
  <w:style w:type="paragraph" w:styleId="ad">
    <w:name w:val="List Paragraph"/>
    <w:basedOn w:val="a"/>
    <w:uiPriority w:val="34"/>
    <w:qFormat/>
    <w:rsid w:val="00C53460"/>
    <w:pPr>
      <w:ind w:firstLineChars="200" w:firstLine="420"/>
    </w:pPr>
  </w:style>
  <w:style w:type="character" w:customStyle="1" w:styleId="3Char">
    <w:name w:val="正文文本缩进 3 Char"/>
    <w:basedOn w:val="a0"/>
    <w:link w:val="3"/>
    <w:qFormat/>
    <w:rsid w:val="00C53460"/>
    <w:rPr>
      <w:rFonts w:ascii="宋体" w:eastAsia="仿宋_GB2312" w:hAnsi="Times New Roman" w:cs="Times New Roman"/>
      <w:sz w:val="28"/>
      <w:szCs w:val="20"/>
    </w:rPr>
  </w:style>
  <w:style w:type="character" w:customStyle="1" w:styleId="Char">
    <w:name w:val="文档结构图 Char"/>
    <w:basedOn w:val="a0"/>
    <w:link w:val="a3"/>
    <w:uiPriority w:val="99"/>
    <w:semiHidden/>
    <w:qFormat/>
    <w:rsid w:val="00C53460"/>
    <w:rPr>
      <w:rFonts w:ascii="宋体" w:eastAsia="宋体"/>
      <w:sz w:val="18"/>
      <w:szCs w:val="18"/>
    </w:rPr>
  </w:style>
  <w:style w:type="character" w:customStyle="1" w:styleId="2Char">
    <w:name w:val="正文文本 2 Char"/>
    <w:basedOn w:val="a0"/>
    <w:link w:val="2"/>
    <w:uiPriority w:val="99"/>
    <w:qFormat/>
    <w:rsid w:val="00C53460"/>
  </w:style>
  <w:style w:type="paragraph" w:customStyle="1" w:styleId="Default">
    <w:name w:val="Default"/>
    <w:qFormat/>
    <w:rsid w:val="00C53460"/>
    <w:pPr>
      <w:widowControl w:val="0"/>
      <w:autoSpaceDE w:val="0"/>
      <w:autoSpaceDN w:val="0"/>
      <w:adjustRightInd w:val="0"/>
    </w:pPr>
    <w:rPr>
      <w:rFonts w:ascii="宋体" w:eastAsia="宋体" w:cs="宋体"/>
      <w:color w:val="000000"/>
      <w:sz w:val="24"/>
      <w:szCs w:val="24"/>
    </w:rPr>
  </w:style>
  <w:style w:type="table" w:customStyle="1" w:styleId="TableGrid">
    <w:name w:val="TableGrid"/>
    <w:rsid w:val="000470E3"/>
    <w:rPr>
      <w:kern w:val="2"/>
      <w:sz w:val="21"/>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973961">
      <w:bodyDiv w:val="1"/>
      <w:marLeft w:val="0"/>
      <w:marRight w:val="0"/>
      <w:marTop w:val="0"/>
      <w:marBottom w:val="0"/>
      <w:divBdr>
        <w:top w:val="none" w:sz="0" w:space="0" w:color="auto"/>
        <w:left w:val="none" w:sz="0" w:space="0" w:color="auto"/>
        <w:bottom w:val="none" w:sz="0" w:space="0" w:color="auto"/>
        <w:right w:val="none" w:sz="0" w:space="0" w:color="auto"/>
      </w:divBdr>
      <w:divsChild>
        <w:div w:id="129448693">
          <w:marLeft w:val="0"/>
          <w:marRight w:val="0"/>
          <w:marTop w:val="0"/>
          <w:marBottom w:val="0"/>
          <w:divBdr>
            <w:top w:val="none" w:sz="0" w:space="0" w:color="auto"/>
            <w:left w:val="none" w:sz="0" w:space="0" w:color="auto"/>
            <w:bottom w:val="none" w:sz="0" w:space="0" w:color="auto"/>
            <w:right w:val="none" w:sz="0" w:space="0" w:color="auto"/>
          </w:divBdr>
        </w:div>
        <w:div w:id="1362048288">
          <w:marLeft w:val="0"/>
          <w:marRight w:val="0"/>
          <w:marTop w:val="0"/>
          <w:marBottom w:val="0"/>
          <w:divBdr>
            <w:top w:val="none" w:sz="0" w:space="0" w:color="auto"/>
            <w:left w:val="none" w:sz="0" w:space="0" w:color="auto"/>
            <w:bottom w:val="none" w:sz="0" w:space="0" w:color="auto"/>
            <w:right w:val="none" w:sz="0" w:space="0" w:color="auto"/>
          </w:divBdr>
        </w:div>
        <w:div w:id="499347431">
          <w:marLeft w:val="0"/>
          <w:marRight w:val="0"/>
          <w:marTop w:val="0"/>
          <w:marBottom w:val="0"/>
          <w:divBdr>
            <w:top w:val="none" w:sz="0" w:space="0" w:color="auto"/>
            <w:left w:val="none" w:sz="0" w:space="0" w:color="auto"/>
            <w:bottom w:val="none" w:sz="0" w:space="0" w:color="auto"/>
            <w:right w:val="none" w:sz="0" w:space="0" w:color="auto"/>
          </w:divBdr>
        </w:div>
        <w:div w:id="495921925">
          <w:marLeft w:val="0"/>
          <w:marRight w:val="0"/>
          <w:marTop w:val="0"/>
          <w:marBottom w:val="0"/>
          <w:divBdr>
            <w:top w:val="none" w:sz="0" w:space="0" w:color="auto"/>
            <w:left w:val="none" w:sz="0" w:space="0" w:color="auto"/>
            <w:bottom w:val="none" w:sz="0" w:space="0" w:color="auto"/>
            <w:right w:val="none" w:sz="0" w:space="0" w:color="auto"/>
          </w:divBdr>
        </w:div>
        <w:div w:id="29260542">
          <w:marLeft w:val="0"/>
          <w:marRight w:val="0"/>
          <w:marTop w:val="0"/>
          <w:marBottom w:val="0"/>
          <w:divBdr>
            <w:top w:val="none" w:sz="0" w:space="0" w:color="auto"/>
            <w:left w:val="none" w:sz="0" w:space="0" w:color="auto"/>
            <w:bottom w:val="none" w:sz="0" w:space="0" w:color="auto"/>
            <w:right w:val="none" w:sz="0" w:space="0" w:color="auto"/>
          </w:divBdr>
        </w:div>
        <w:div w:id="74209977">
          <w:marLeft w:val="0"/>
          <w:marRight w:val="0"/>
          <w:marTop w:val="0"/>
          <w:marBottom w:val="0"/>
          <w:divBdr>
            <w:top w:val="none" w:sz="0" w:space="0" w:color="auto"/>
            <w:left w:val="none" w:sz="0" w:space="0" w:color="auto"/>
            <w:bottom w:val="none" w:sz="0" w:space="0" w:color="auto"/>
            <w:right w:val="none" w:sz="0" w:space="0" w:color="auto"/>
          </w:divBdr>
        </w:div>
        <w:div w:id="532966406">
          <w:marLeft w:val="0"/>
          <w:marRight w:val="0"/>
          <w:marTop w:val="0"/>
          <w:marBottom w:val="0"/>
          <w:divBdr>
            <w:top w:val="none" w:sz="0" w:space="0" w:color="auto"/>
            <w:left w:val="none" w:sz="0" w:space="0" w:color="auto"/>
            <w:bottom w:val="none" w:sz="0" w:space="0" w:color="auto"/>
            <w:right w:val="none" w:sz="0" w:space="0" w:color="auto"/>
          </w:divBdr>
        </w:div>
        <w:div w:id="1274483168">
          <w:marLeft w:val="0"/>
          <w:marRight w:val="0"/>
          <w:marTop w:val="0"/>
          <w:marBottom w:val="0"/>
          <w:divBdr>
            <w:top w:val="none" w:sz="0" w:space="0" w:color="auto"/>
            <w:left w:val="none" w:sz="0" w:space="0" w:color="auto"/>
            <w:bottom w:val="none" w:sz="0" w:space="0" w:color="auto"/>
            <w:right w:val="none" w:sz="0" w:space="0" w:color="auto"/>
          </w:divBdr>
        </w:div>
        <w:div w:id="978918359">
          <w:marLeft w:val="0"/>
          <w:marRight w:val="0"/>
          <w:marTop w:val="0"/>
          <w:marBottom w:val="0"/>
          <w:divBdr>
            <w:top w:val="none" w:sz="0" w:space="0" w:color="auto"/>
            <w:left w:val="none" w:sz="0" w:space="0" w:color="auto"/>
            <w:bottom w:val="none" w:sz="0" w:space="0" w:color="auto"/>
            <w:right w:val="none" w:sz="0" w:space="0" w:color="auto"/>
          </w:divBdr>
        </w:div>
        <w:div w:id="351809404">
          <w:marLeft w:val="0"/>
          <w:marRight w:val="0"/>
          <w:marTop w:val="0"/>
          <w:marBottom w:val="0"/>
          <w:divBdr>
            <w:top w:val="none" w:sz="0" w:space="0" w:color="auto"/>
            <w:left w:val="none" w:sz="0" w:space="0" w:color="auto"/>
            <w:bottom w:val="none" w:sz="0" w:space="0" w:color="auto"/>
            <w:right w:val="none" w:sz="0" w:space="0" w:color="auto"/>
          </w:divBdr>
        </w:div>
        <w:div w:id="947539073">
          <w:marLeft w:val="0"/>
          <w:marRight w:val="0"/>
          <w:marTop w:val="0"/>
          <w:marBottom w:val="0"/>
          <w:divBdr>
            <w:top w:val="none" w:sz="0" w:space="0" w:color="auto"/>
            <w:left w:val="none" w:sz="0" w:space="0" w:color="auto"/>
            <w:bottom w:val="none" w:sz="0" w:space="0" w:color="auto"/>
            <w:right w:val="none" w:sz="0" w:space="0" w:color="auto"/>
          </w:divBdr>
        </w:div>
        <w:div w:id="488400015">
          <w:marLeft w:val="0"/>
          <w:marRight w:val="0"/>
          <w:marTop w:val="0"/>
          <w:marBottom w:val="0"/>
          <w:divBdr>
            <w:top w:val="none" w:sz="0" w:space="0" w:color="auto"/>
            <w:left w:val="none" w:sz="0" w:space="0" w:color="auto"/>
            <w:bottom w:val="none" w:sz="0" w:space="0" w:color="auto"/>
            <w:right w:val="none" w:sz="0" w:space="0" w:color="auto"/>
          </w:divBdr>
        </w:div>
        <w:div w:id="1889343537">
          <w:marLeft w:val="0"/>
          <w:marRight w:val="0"/>
          <w:marTop w:val="0"/>
          <w:marBottom w:val="0"/>
          <w:divBdr>
            <w:top w:val="none" w:sz="0" w:space="0" w:color="auto"/>
            <w:left w:val="none" w:sz="0" w:space="0" w:color="auto"/>
            <w:bottom w:val="none" w:sz="0" w:space="0" w:color="auto"/>
            <w:right w:val="none" w:sz="0" w:space="0" w:color="auto"/>
          </w:divBdr>
        </w:div>
        <w:div w:id="307901947">
          <w:marLeft w:val="0"/>
          <w:marRight w:val="0"/>
          <w:marTop w:val="0"/>
          <w:marBottom w:val="0"/>
          <w:divBdr>
            <w:top w:val="none" w:sz="0" w:space="0" w:color="auto"/>
            <w:left w:val="none" w:sz="0" w:space="0" w:color="auto"/>
            <w:bottom w:val="none" w:sz="0" w:space="0" w:color="auto"/>
            <w:right w:val="none" w:sz="0" w:space="0" w:color="auto"/>
          </w:divBdr>
        </w:div>
        <w:div w:id="1966425946">
          <w:marLeft w:val="0"/>
          <w:marRight w:val="0"/>
          <w:marTop w:val="0"/>
          <w:marBottom w:val="0"/>
          <w:divBdr>
            <w:top w:val="none" w:sz="0" w:space="0" w:color="auto"/>
            <w:left w:val="none" w:sz="0" w:space="0" w:color="auto"/>
            <w:bottom w:val="none" w:sz="0" w:space="0" w:color="auto"/>
            <w:right w:val="none" w:sz="0" w:space="0" w:color="auto"/>
          </w:divBdr>
        </w:div>
        <w:div w:id="1658224174">
          <w:marLeft w:val="0"/>
          <w:marRight w:val="0"/>
          <w:marTop w:val="0"/>
          <w:marBottom w:val="0"/>
          <w:divBdr>
            <w:top w:val="none" w:sz="0" w:space="0" w:color="auto"/>
            <w:left w:val="none" w:sz="0" w:space="0" w:color="auto"/>
            <w:bottom w:val="none" w:sz="0" w:space="0" w:color="auto"/>
            <w:right w:val="none" w:sz="0" w:space="0" w:color="auto"/>
          </w:divBdr>
        </w:div>
        <w:div w:id="1442610624">
          <w:marLeft w:val="0"/>
          <w:marRight w:val="0"/>
          <w:marTop w:val="0"/>
          <w:marBottom w:val="0"/>
          <w:divBdr>
            <w:top w:val="none" w:sz="0" w:space="0" w:color="auto"/>
            <w:left w:val="none" w:sz="0" w:space="0" w:color="auto"/>
            <w:bottom w:val="none" w:sz="0" w:space="0" w:color="auto"/>
            <w:right w:val="none" w:sz="0" w:space="0" w:color="auto"/>
          </w:divBdr>
        </w:div>
        <w:div w:id="1565221254">
          <w:marLeft w:val="0"/>
          <w:marRight w:val="0"/>
          <w:marTop w:val="0"/>
          <w:marBottom w:val="0"/>
          <w:divBdr>
            <w:top w:val="none" w:sz="0" w:space="0" w:color="auto"/>
            <w:left w:val="none" w:sz="0" w:space="0" w:color="auto"/>
            <w:bottom w:val="none" w:sz="0" w:space="0" w:color="auto"/>
            <w:right w:val="none" w:sz="0" w:space="0" w:color="auto"/>
          </w:divBdr>
        </w:div>
        <w:div w:id="1747991279">
          <w:marLeft w:val="0"/>
          <w:marRight w:val="0"/>
          <w:marTop w:val="0"/>
          <w:marBottom w:val="0"/>
          <w:divBdr>
            <w:top w:val="none" w:sz="0" w:space="0" w:color="auto"/>
            <w:left w:val="none" w:sz="0" w:space="0" w:color="auto"/>
            <w:bottom w:val="none" w:sz="0" w:space="0" w:color="auto"/>
            <w:right w:val="none" w:sz="0" w:space="0" w:color="auto"/>
          </w:divBdr>
        </w:div>
        <w:div w:id="2009285705">
          <w:marLeft w:val="0"/>
          <w:marRight w:val="0"/>
          <w:marTop w:val="0"/>
          <w:marBottom w:val="0"/>
          <w:divBdr>
            <w:top w:val="none" w:sz="0" w:space="0" w:color="auto"/>
            <w:left w:val="none" w:sz="0" w:space="0" w:color="auto"/>
            <w:bottom w:val="none" w:sz="0" w:space="0" w:color="auto"/>
            <w:right w:val="none" w:sz="0" w:space="0" w:color="auto"/>
          </w:divBdr>
        </w:div>
        <w:div w:id="917401123">
          <w:marLeft w:val="0"/>
          <w:marRight w:val="0"/>
          <w:marTop w:val="0"/>
          <w:marBottom w:val="0"/>
          <w:divBdr>
            <w:top w:val="none" w:sz="0" w:space="0" w:color="auto"/>
            <w:left w:val="none" w:sz="0" w:space="0" w:color="auto"/>
            <w:bottom w:val="none" w:sz="0" w:space="0" w:color="auto"/>
            <w:right w:val="none" w:sz="0" w:space="0" w:color="auto"/>
          </w:divBdr>
        </w:div>
        <w:div w:id="1630436100">
          <w:marLeft w:val="0"/>
          <w:marRight w:val="0"/>
          <w:marTop w:val="0"/>
          <w:marBottom w:val="0"/>
          <w:divBdr>
            <w:top w:val="none" w:sz="0" w:space="0" w:color="auto"/>
            <w:left w:val="none" w:sz="0" w:space="0" w:color="auto"/>
            <w:bottom w:val="none" w:sz="0" w:space="0" w:color="auto"/>
            <w:right w:val="none" w:sz="0" w:space="0" w:color="auto"/>
          </w:divBdr>
        </w:div>
        <w:div w:id="1717703668">
          <w:marLeft w:val="0"/>
          <w:marRight w:val="0"/>
          <w:marTop w:val="0"/>
          <w:marBottom w:val="0"/>
          <w:divBdr>
            <w:top w:val="none" w:sz="0" w:space="0" w:color="auto"/>
            <w:left w:val="none" w:sz="0" w:space="0" w:color="auto"/>
            <w:bottom w:val="none" w:sz="0" w:space="0" w:color="auto"/>
            <w:right w:val="none" w:sz="0" w:space="0" w:color="auto"/>
          </w:divBdr>
        </w:div>
      </w:divsChild>
    </w:div>
    <w:div w:id="1144657665">
      <w:bodyDiv w:val="1"/>
      <w:marLeft w:val="0"/>
      <w:marRight w:val="0"/>
      <w:marTop w:val="0"/>
      <w:marBottom w:val="0"/>
      <w:divBdr>
        <w:top w:val="none" w:sz="0" w:space="0" w:color="auto"/>
        <w:left w:val="none" w:sz="0" w:space="0" w:color="auto"/>
        <w:bottom w:val="none" w:sz="0" w:space="0" w:color="auto"/>
        <w:right w:val="none" w:sz="0" w:space="0" w:color="auto"/>
      </w:divBdr>
      <w:divsChild>
        <w:div w:id="1766533785">
          <w:marLeft w:val="0"/>
          <w:marRight w:val="0"/>
          <w:marTop w:val="0"/>
          <w:marBottom w:val="0"/>
          <w:divBdr>
            <w:top w:val="none" w:sz="0" w:space="0" w:color="auto"/>
            <w:left w:val="none" w:sz="0" w:space="0" w:color="auto"/>
            <w:bottom w:val="none" w:sz="0" w:space="0" w:color="auto"/>
            <w:right w:val="none" w:sz="0" w:space="0" w:color="auto"/>
          </w:divBdr>
        </w:div>
        <w:div w:id="1159271952">
          <w:marLeft w:val="0"/>
          <w:marRight w:val="0"/>
          <w:marTop w:val="0"/>
          <w:marBottom w:val="0"/>
          <w:divBdr>
            <w:top w:val="none" w:sz="0" w:space="0" w:color="auto"/>
            <w:left w:val="none" w:sz="0" w:space="0" w:color="auto"/>
            <w:bottom w:val="none" w:sz="0" w:space="0" w:color="auto"/>
            <w:right w:val="none" w:sz="0" w:space="0" w:color="auto"/>
          </w:divBdr>
        </w:div>
        <w:div w:id="88241876">
          <w:marLeft w:val="0"/>
          <w:marRight w:val="0"/>
          <w:marTop w:val="0"/>
          <w:marBottom w:val="0"/>
          <w:divBdr>
            <w:top w:val="none" w:sz="0" w:space="0" w:color="auto"/>
            <w:left w:val="none" w:sz="0" w:space="0" w:color="auto"/>
            <w:bottom w:val="none" w:sz="0" w:space="0" w:color="auto"/>
            <w:right w:val="none" w:sz="0" w:space="0" w:color="auto"/>
          </w:divBdr>
        </w:div>
        <w:div w:id="1628731383">
          <w:marLeft w:val="0"/>
          <w:marRight w:val="0"/>
          <w:marTop w:val="0"/>
          <w:marBottom w:val="0"/>
          <w:divBdr>
            <w:top w:val="none" w:sz="0" w:space="0" w:color="auto"/>
            <w:left w:val="none" w:sz="0" w:space="0" w:color="auto"/>
            <w:bottom w:val="none" w:sz="0" w:space="0" w:color="auto"/>
            <w:right w:val="none" w:sz="0" w:space="0" w:color="auto"/>
          </w:divBdr>
        </w:div>
        <w:div w:id="1698190838">
          <w:marLeft w:val="0"/>
          <w:marRight w:val="0"/>
          <w:marTop w:val="0"/>
          <w:marBottom w:val="0"/>
          <w:divBdr>
            <w:top w:val="none" w:sz="0" w:space="0" w:color="auto"/>
            <w:left w:val="none" w:sz="0" w:space="0" w:color="auto"/>
            <w:bottom w:val="none" w:sz="0" w:space="0" w:color="auto"/>
            <w:right w:val="none" w:sz="0" w:space="0" w:color="auto"/>
          </w:divBdr>
        </w:div>
        <w:div w:id="1875576879">
          <w:marLeft w:val="0"/>
          <w:marRight w:val="0"/>
          <w:marTop w:val="0"/>
          <w:marBottom w:val="0"/>
          <w:divBdr>
            <w:top w:val="none" w:sz="0" w:space="0" w:color="auto"/>
            <w:left w:val="none" w:sz="0" w:space="0" w:color="auto"/>
            <w:bottom w:val="none" w:sz="0" w:space="0" w:color="auto"/>
            <w:right w:val="none" w:sz="0" w:space="0" w:color="auto"/>
          </w:divBdr>
        </w:div>
        <w:div w:id="1837259484">
          <w:marLeft w:val="0"/>
          <w:marRight w:val="0"/>
          <w:marTop w:val="0"/>
          <w:marBottom w:val="0"/>
          <w:divBdr>
            <w:top w:val="none" w:sz="0" w:space="0" w:color="auto"/>
            <w:left w:val="none" w:sz="0" w:space="0" w:color="auto"/>
            <w:bottom w:val="none" w:sz="0" w:space="0" w:color="auto"/>
            <w:right w:val="none" w:sz="0" w:space="0" w:color="auto"/>
          </w:divBdr>
        </w:div>
        <w:div w:id="1455057133">
          <w:marLeft w:val="0"/>
          <w:marRight w:val="0"/>
          <w:marTop w:val="0"/>
          <w:marBottom w:val="0"/>
          <w:divBdr>
            <w:top w:val="none" w:sz="0" w:space="0" w:color="auto"/>
            <w:left w:val="none" w:sz="0" w:space="0" w:color="auto"/>
            <w:bottom w:val="none" w:sz="0" w:space="0" w:color="auto"/>
            <w:right w:val="none" w:sz="0" w:space="0" w:color="auto"/>
          </w:divBdr>
        </w:div>
        <w:div w:id="1917668237">
          <w:marLeft w:val="0"/>
          <w:marRight w:val="0"/>
          <w:marTop w:val="0"/>
          <w:marBottom w:val="0"/>
          <w:divBdr>
            <w:top w:val="none" w:sz="0" w:space="0" w:color="auto"/>
            <w:left w:val="none" w:sz="0" w:space="0" w:color="auto"/>
            <w:bottom w:val="none" w:sz="0" w:space="0" w:color="auto"/>
            <w:right w:val="none" w:sz="0" w:space="0" w:color="auto"/>
          </w:divBdr>
        </w:div>
        <w:div w:id="192961078">
          <w:marLeft w:val="0"/>
          <w:marRight w:val="0"/>
          <w:marTop w:val="0"/>
          <w:marBottom w:val="0"/>
          <w:divBdr>
            <w:top w:val="none" w:sz="0" w:space="0" w:color="auto"/>
            <w:left w:val="none" w:sz="0" w:space="0" w:color="auto"/>
            <w:bottom w:val="none" w:sz="0" w:space="0" w:color="auto"/>
            <w:right w:val="none" w:sz="0" w:space="0" w:color="auto"/>
          </w:divBdr>
        </w:div>
        <w:div w:id="1710640651">
          <w:marLeft w:val="0"/>
          <w:marRight w:val="0"/>
          <w:marTop w:val="0"/>
          <w:marBottom w:val="0"/>
          <w:divBdr>
            <w:top w:val="none" w:sz="0" w:space="0" w:color="auto"/>
            <w:left w:val="none" w:sz="0" w:space="0" w:color="auto"/>
            <w:bottom w:val="none" w:sz="0" w:space="0" w:color="auto"/>
            <w:right w:val="none" w:sz="0" w:space="0" w:color="auto"/>
          </w:divBdr>
        </w:div>
        <w:div w:id="650905723">
          <w:marLeft w:val="0"/>
          <w:marRight w:val="0"/>
          <w:marTop w:val="0"/>
          <w:marBottom w:val="0"/>
          <w:divBdr>
            <w:top w:val="none" w:sz="0" w:space="0" w:color="auto"/>
            <w:left w:val="none" w:sz="0" w:space="0" w:color="auto"/>
            <w:bottom w:val="none" w:sz="0" w:space="0" w:color="auto"/>
            <w:right w:val="none" w:sz="0" w:space="0" w:color="auto"/>
          </w:divBdr>
        </w:div>
        <w:div w:id="1457914501">
          <w:marLeft w:val="0"/>
          <w:marRight w:val="0"/>
          <w:marTop w:val="0"/>
          <w:marBottom w:val="0"/>
          <w:divBdr>
            <w:top w:val="none" w:sz="0" w:space="0" w:color="auto"/>
            <w:left w:val="none" w:sz="0" w:space="0" w:color="auto"/>
            <w:bottom w:val="none" w:sz="0" w:space="0" w:color="auto"/>
            <w:right w:val="none" w:sz="0" w:space="0" w:color="auto"/>
          </w:divBdr>
        </w:div>
        <w:div w:id="618611697">
          <w:marLeft w:val="0"/>
          <w:marRight w:val="0"/>
          <w:marTop w:val="0"/>
          <w:marBottom w:val="0"/>
          <w:divBdr>
            <w:top w:val="none" w:sz="0" w:space="0" w:color="auto"/>
            <w:left w:val="none" w:sz="0" w:space="0" w:color="auto"/>
            <w:bottom w:val="none" w:sz="0" w:space="0" w:color="auto"/>
            <w:right w:val="none" w:sz="0" w:space="0" w:color="auto"/>
          </w:divBdr>
        </w:div>
        <w:div w:id="2135099478">
          <w:marLeft w:val="0"/>
          <w:marRight w:val="0"/>
          <w:marTop w:val="0"/>
          <w:marBottom w:val="0"/>
          <w:divBdr>
            <w:top w:val="none" w:sz="0" w:space="0" w:color="auto"/>
            <w:left w:val="none" w:sz="0" w:space="0" w:color="auto"/>
            <w:bottom w:val="none" w:sz="0" w:space="0" w:color="auto"/>
            <w:right w:val="none" w:sz="0" w:space="0" w:color="auto"/>
          </w:divBdr>
        </w:div>
        <w:div w:id="1683512985">
          <w:marLeft w:val="0"/>
          <w:marRight w:val="0"/>
          <w:marTop w:val="0"/>
          <w:marBottom w:val="0"/>
          <w:divBdr>
            <w:top w:val="none" w:sz="0" w:space="0" w:color="auto"/>
            <w:left w:val="none" w:sz="0" w:space="0" w:color="auto"/>
            <w:bottom w:val="none" w:sz="0" w:space="0" w:color="auto"/>
            <w:right w:val="none" w:sz="0" w:space="0" w:color="auto"/>
          </w:divBdr>
        </w:div>
        <w:div w:id="797841416">
          <w:marLeft w:val="0"/>
          <w:marRight w:val="0"/>
          <w:marTop w:val="0"/>
          <w:marBottom w:val="0"/>
          <w:divBdr>
            <w:top w:val="none" w:sz="0" w:space="0" w:color="auto"/>
            <w:left w:val="none" w:sz="0" w:space="0" w:color="auto"/>
            <w:bottom w:val="none" w:sz="0" w:space="0" w:color="auto"/>
            <w:right w:val="none" w:sz="0" w:space="0" w:color="auto"/>
          </w:divBdr>
        </w:div>
        <w:div w:id="1913080567">
          <w:marLeft w:val="0"/>
          <w:marRight w:val="0"/>
          <w:marTop w:val="0"/>
          <w:marBottom w:val="0"/>
          <w:divBdr>
            <w:top w:val="none" w:sz="0" w:space="0" w:color="auto"/>
            <w:left w:val="none" w:sz="0" w:space="0" w:color="auto"/>
            <w:bottom w:val="none" w:sz="0" w:space="0" w:color="auto"/>
            <w:right w:val="none" w:sz="0" w:space="0" w:color="auto"/>
          </w:divBdr>
        </w:div>
        <w:div w:id="373316019">
          <w:marLeft w:val="0"/>
          <w:marRight w:val="0"/>
          <w:marTop w:val="0"/>
          <w:marBottom w:val="0"/>
          <w:divBdr>
            <w:top w:val="none" w:sz="0" w:space="0" w:color="auto"/>
            <w:left w:val="none" w:sz="0" w:space="0" w:color="auto"/>
            <w:bottom w:val="none" w:sz="0" w:space="0" w:color="auto"/>
            <w:right w:val="none" w:sz="0" w:space="0" w:color="auto"/>
          </w:divBdr>
        </w:div>
        <w:div w:id="1562979840">
          <w:marLeft w:val="0"/>
          <w:marRight w:val="0"/>
          <w:marTop w:val="0"/>
          <w:marBottom w:val="0"/>
          <w:divBdr>
            <w:top w:val="none" w:sz="0" w:space="0" w:color="auto"/>
            <w:left w:val="none" w:sz="0" w:space="0" w:color="auto"/>
            <w:bottom w:val="none" w:sz="0" w:space="0" w:color="auto"/>
            <w:right w:val="none" w:sz="0" w:space="0" w:color="auto"/>
          </w:divBdr>
        </w:div>
        <w:div w:id="1504584258">
          <w:marLeft w:val="0"/>
          <w:marRight w:val="0"/>
          <w:marTop w:val="0"/>
          <w:marBottom w:val="0"/>
          <w:divBdr>
            <w:top w:val="none" w:sz="0" w:space="0" w:color="auto"/>
            <w:left w:val="none" w:sz="0" w:space="0" w:color="auto"/>
            <w:bottom w:val="none" w:sz="0" w:space="0" w:color="auto"/>
            <w:right w:val="none" w:sz="0" w:space="0" w:color="auto"/>
          </w:divBdr>
        </w:div>
        <w:div w:id="1490170039">
          <w:marLeft w:val="0"/>
          <w:marRight w:val="0"/>
          <w:marTop w:val="0"/>
          <w:marBottom w:val="0"/>
          <w:divBdr>
            <w:top w:val="none" w:sz="0" w:space="0" w:color="auto"/>
            <w:left w:val="none" w:sz="0" w:space="0" w:color="auto"/>
            <w:bottom w:val="none" w:sz="0" w:space="0" w:color="auto"/>
            <w:right w:val="none" w:sz="0" w:space="0" w:color="auto"/>
          </w:divBdr>
        </w:div>
        <w:div w:id="1785928724">
          <w:marLeft w:val="0"/>
          <w:marRight w:val="0"/>
          <w:marTop w:val="0"/>
          <w:marBottom w:val="0"/>
          <w:divBdr>
            <w:top w:val="none" w:sz="0" w:space="0" w:color="auto"/>
            <w:left w:val="none" w:sz="0" w:space="0" w:color="auto"/>
            <w:bottom w:val="none" w:sz="0" w:space="0" w:color="auto"/>
            <w:right w:val="none" w:sz="0" w:space="0" w:color="auto"/>
          </w:divBdr>
        </w:div>
      </w:divsChild>
    </w:div>
    <w:div w:id="1300262244">
      <w:bodyDiv w:val="1"/>
      <w:marLeft w:val="0"/>
      <w:marRight w:val="0"/>
      <w:marTop w:val="0"/>
      <w:marBottom w:val="0"/>
      <w:divBdr>
        <w:top w:val="none" w:sz="0" w:space="0" w:color="auto"/>
        <w:left w:val="none" w:sz="0" w:space="0" w:color="auto"/>
        <w:bottom w:val="none" w:sz="0" w:space="0" w:color="auto"/>
        <w:right w:val="none" w:sz="0" w:space="0" w:color="auto"/>
      </w:divBdr>
    </w:div>
    <w:div w:id="1991904642">
      <w:bodyDiv w:val="1"/>
      <w:marLeft w:val="0"/>
      <w:marRight w:val="0"/>
      <w:marTop w:val="0"/>
      <w:marBottom w:val="0"/>
      <w:divBdr>
        <w:top w:val="none" w:sz="0" w:space="0" w:color="auto"/>
        <w:left w:val="none" w:sz="0" w:space="0" w:color="auto"/>
        <w:bottom w:val="none" w:sz="0" w:space="0" w:color="auto"/>
        <w:right w:val="none" w:sz="0" w:space="0" w:color="auto"/>
      </w:divBdr>
    </w:div>
    <w:div w:id="201722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4</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li_yg</dc:creator>
  <cp:lastModifiedBy>ZHONGM</cp:lastModifiedBy>
  <cp:revision>2</cp:revision>
  <cp:lastPrinted>2023-07-06T09:29:00Z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865FAD72595C4E9D8F2F56D7602D2E2E_13</vt:lpwstr>
  </property>
</Properties>
</file>