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A6685">
      <w:pPr>
        <w:pStyle w:val="a5"/>
        <w:jc w:val="center"/>
        <w:rPr>
          <w:sz w:val="30"/>
          <w:szCs w:val="30"/>
        </w:rPr>
      </w:pPr>
      <w:r>
        <w:rPr>
          <w:b/>
          <w:sz w:val="30"/>
          <w:szCs w:val="30"/>
        </w:rPr>
        <w:t>惠升和顺恒利</w:t>
      </w:r>
      <w:r>
        <w:rPr>
          <w:b/>
          <w:sz w:val="30"/>
          <w:szCs w:val="30"/>
        </w:rPr>
        <w:t>3</w:t>
      </w:r>
      <w:r>
        <w:rPr>
          <w:b/>
          <w:sz w:val="30"/>
          <w:szCs w:val="30"/>
        </w:rPr>
        <w:t>个月定期开放债券型证券投资基金分红公告</w:t>
      </w:r>
    </w:p>
    <w:p w:rsidR="00000000" w:rsidRDefault="00CA6685">
      <w:pPr>
        <w:pStyle w:val="a5"/>
        <w:jc w:val="center"/>
      </w:pPr>
    </w:p>
    <w:p w:rsidR="00000000" w:rsidRDefault="00CA6685">
      <w:pPr>
        <w:pStyle w:val="a5"/>
        <w:jc w:val="center"/>
      </w:pPr>
      <w:r>
        <w:t>公告送出日期：</w:t>
      </w:r>
      <w:r>
        <w:t>2024</w:t>
      </w:r>
      <w:r>
        <w:t>年</w:t>
      </w:r>
      <w:r>
        <w:t>03</w:t>
      </w:r>
      <w:r>
        <w:t>月</w:t>
      </w:r>
      <w:r>
        <w:t>19</w:t>
      </w:r>
      <w:r>
        <w:t>日</w:t>
      </w:r>
    </w:p>
    <w:p w:rsidR="00000000" w:rsidRDefault="00CA6685">
      <w:pPr>
        <w:pStyle w:val="dazhangjie"/>
      </w:pPr>
      <w:r>
        <w:rPr>
          <w:rFonts w:hAnsi="Calibri" w:cs="宋体" w:hint="eastAsia"/>
          <w:b/>
          <w:color w:val="000000"/>
        </w:rPr>
        <w:t xml:space="preserve">1 </w:t>
      </w:r>
      <w:r>
        <w:rPr>
          <w:rFonts w:hAnsi="Calibri" w:cs="宋体" w:hint="eastAsia"/>
          <w:b/>
          <w:color w:val="000000"/>
        </w:rPr>
        <w:t>公告基本信息</w:t>
      </w:r>
    </w:p>
    <w:p w:rsidR="00000000" w:rsidRDefault="00CA6685">
      <w:pPr>
        <w:widowControl/>
        <w:jc w:val="left"/>
      </w:pPr>
    </w:p>
    <w:tbl>
      <w:tblPr>
        <w:tblW w:w="0" w:type="auto"/>
        <w:tblInd w:w="0" w:type="dxa"/>
        <w:tblLayout w:type="fixed"/>
        <w:tblLook w:val="0000"/>
      </w:tblPr>
      <w:tblGrid>
        <w:gridCol w:w="1202"/>
        <w:gridCol w:w="2520"/>
        <w:gridCol w:w="2792"/>
        <w:gridCol w:w="2792"/>
      </w:tblGrid>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基金名称</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惠升和顺恒利</w:t>
            </w:r>
            <w:r>
              <w:t>3</w:t>
            </w:r>
            <w:r>
              <w:t>个月定期开放债券型证券投资基金</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基金简称</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惠升和顺恒利</w:t>
            </w:r>
            <w:r>
              <w:t>3</w:t>
            </w:r>
            <w:r>
              <w:t>个月定开债券</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基金主代码</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014675</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基金合同生效日</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2022</w:t>
            </w:r>
            <w:r>
              <w:t>年</w:t>
            </w:r>
            <w:r>
              <w:t>03</w:t>
            </w:r>
            <w:r>
              <w:t>月</w:t>
            </w:r>
            <w:r>
              <w:t>17</w:t>
            </w:r>
            <w:r>
              <w:t>日</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基金管理人名称</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惠升基金管理有限责任公司</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基金托管人名称</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兴业银行股份有限公司</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公告依据</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《中华人民共和国证券投资基金法》、《公开募集证券投资基金运作管理办法》、《公开募集证券投资基金信息披露管理办法》、《惠升和顺恒利</w:t>
            </w:r>
            <w:r>
              <w:t>3</w:t>
            </w:r>
            <w:r>
              <w:t>个月定</w:t>
            </w:r>
            <w:r>
              <w:t>期开放债券型证券投资基金基金合同》、《惠升和顺恒利</w:t>
            </w:r>
            <w:r>
              <w:t>3</w:t>
            </w:r>
            <w:r>
              <w:t>个月定期开放债券型证券投资基金招募说明书》等。</w:t>
            </w:r>
            <w:r>
              <w:t xml:space="preserve"> </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收益分配基准日</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2024</w:t>
            </w:r>
            <w:r>
              <w:t>年</w:t>
            </w:r>
            <w:r>
              <w:t>03</w:t>
            </w:r>
            <w:r>
              <w:t>月</w:t>
            </w:r>
            <w:r>
              <w:t>15</w:t>
            </w:r>
            <w:r>
              <w:t>日</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有关年度分红次数的说明</w:t>
            </w:r>
          </w:p>
        </w:tc>
        <w:tc>
          <w:tcPr>
            <w:tcW w:w="5584"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本次分红为</w:t>
            </w:r>
            <w:r>
              <w:t>2024</w:t>
            </w:r>
            <w:r>
              <w:t>年度的第</w:t>
            </w:r>
            <w:r>
              <w:t>1</w:t>
            </w:r>
            <w:r>
              <w:t>次分红。</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下属分级基金的基金简称</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惠升和顺恒利</w:t>
            </w:r>
            <w:r>
              <w:t>3</w:t>
            </w:r>
            <w:r>
              <w:t>个月定开债券</w:t>
            </w:r>
            <w:r>
              <w:t>A</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惠升和顺恒利</w:t>
            </w:r>
            <w:r>
              <w:t>3</w:t>
            </w:r>
            <w:r>
              <w:t>个月定开债券</w:t>
            </w:r>
            <w:r>
              <w:t>C</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下属分级基金的交易代码</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014675</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014676</w:t>
            </w:r>
          </w:p>
        </w:tc>
      </w:tr>
      <w:tr w:rsidR="00000000">
        <w:tc>
          <w:tcPr>
            <w:tcW w:w="1202"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截止基准日下属分级基金的相关指标</w:t>
            </w:r>
          </w:p>
        </w:tc>
        <w:tc>
          <w:tcPr>
            <w:tcW w:w="2520"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基准日下属分级基金份额净值（单位</w:t>
            </w:r>
            <w:r>
              <w:t>:</w:t>
            </w:r>
            <w:r>
              <w:t>人民币元）</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1.0237</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1.0344</w:t>
            </w:r>
          </w:p>
        </w:tc>
      </w:tr>
      <w:tr w:rsidR="00000000">
        <w:tc>
          <w:tcPr>
            <w:tcW w:w="1202" w:type="dxa"/>
            <w:vMerge/>
            <w:tcBorders>
              <w:top w:val="single" w:sz="8" w:space="0" w:color="000000"/>
              <w:left w:val="single" w:sz="8" w:space="0" w:color="000000"/>
              <w:bottom w:val="single" w:sz="6" w:space="0" w:color="000000"/>
              <w:right w:val="single" w:sz="8" w:space="0" w:color="000000"/>
            </w:tcBorders>
            <w:vAlign w:val="center"/>
          </w:tcPr>
          <w:p w:rsidR="00000000" w:rsidRDefault="00CA6685">
            <w:pPr>
              <w:rPr>
                <w:rFonts w:ascii="宋体" w:hint="eastAsia"/>
                <w:sz w:val="24"/>
                <w:szCs w:val="24"/>
              </w:rPr>
            </w:pPr>
          </w:p>
        </w:tc>
        <w:tc>
          <w:tcPr>
            <w:tcW w:w="2520"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基准日下属分级基金可供分配利润（单位</w:t>
            </w:r>
            <w:r>
              <w:t>:</w:t>
            </w:r>
            <w:r>
              <w:t>人民币元）</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74,155,607.13</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4.59</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本次下属分级基金分红方案（单位</w:t>
            </w:r>
            <w:r>
              <w:t>:</w:t>
            </w:r>
            <w:r>
              <w:t>元</w:t>
            </w:r>
            <w:r>
              <w:t>/10</w:t>
            </w:r>
            <w:r>
              <w:t>份基金份额）</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0.15</w:t>
            </w:r>
          </w:p>
        </w:tc>
        <w:tc>
          <w:tcPr>
            <w:tcW w:w="279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0.20</w:t>
            </w:r>
          </w:p>
        </w:tc>
      </w:tr>
    </w:tbl>
    <w:p w:rsidR="00000000" w:rsidRDefault="00CA6685">
      <w:pPr>
        <w:widowControl/>
        <w:jc w:val="left"/>
      </w:pPr>
    </w:p>
    <w:p w:rsidR="00000000" w:rsidRDefault="00CA6685">
      <w:pPr>
        <w:pStyle w:val="dazhangjie"/>
      </w:pPr>
      <w:r>
        <w:rPr>
          <w:rFonts w:hAnsi="Calibri" w:cs="宋体" w:hint="eastAsia"/>
          <w:b/>
          <w:color w:val="000000"/>
        </w:rPr>
        <w:t xml:space="preserve">2 </w:t>
      </w:r>
      <w:r>
        <w:rPr>
          <w:rFonts w:hAnsi="Calibri" w:cs="宋体" w:hint="eastAsia"/>
          <w:b/>
          <w:color w:val="000000"/>
        </w:rPr>
        <w:t>与分红相关的其他信息</w:t>
      </w:r>
    </w:p>
    <w:p w:rsidR="00000000" w:rsidRDefault="00CA6685">
      <w:pPr>
        <w:widowControl/>
        <w:jc w:val="left"/>
      </w:pPr>
    </w:p>
    <w:tbl>
      <w:tblPr>
        <w:tblW w:w="0" w:type="auto"/>
        <w:tblInd w:w="0" w:type="dxa"/>
        <w:tblLayout w:type="fixed"/>
        <w:tblLook w:val="0000"/>
      </w:tblPr>
      <w:tblGrid>
        <w:gridCol w:w="3722"/>
        <w:gridCol w:w="5584"/>
      </w:tblGrid>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权益登记日</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biaogeleft"/>
              <w:wordWrap w:val="0"/>
            </w:pP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20</w:t>
            </w:r>
            <w:r>
              <w:rPr>
                <w:rFonts w:hAnsi="Calibri" w:cs="宋体" w:hint="eastAsia"/>
                <w:color w:val="000000"/>
              </w:rPr>
              <w:t>日</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除息日</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biaogeleft"/>
              <w:wordWrap w:val="0"/>
            </w:pP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20</w:t>
            </w:r>
            <w:r>
              <w:rPr>
                <w:rFonts w:hAnsi="Calibri" w:cs="宋体" w:hint="eastAsia"/>
                <w:color w:val="000000"/>
              </w:rPr>
              <w:t>日</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现金红利发放日</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biaogeleft"/>
              <w:wordWrap w:val="0"/>
            </w:pP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21</w:t>
            </w:r>
            <w:r>
              <w:rPr>
                <w:rFonts w:hAnsi="Calibri" w:cs="宋体" w:hint="eastAsia"/>
                <w:color w:val="000000"/>
              </w:rPr>
              <w:t>日</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分红对象</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biaogeleft"/>
              <w:wordWrap w:val="0"/>
            </w:pPr>
            <w:r>
              <w:rPr>
                <w:rFonts w:hAnsi="Calibri" w:cs="宋体" w:hint="eastAsia"/>
                <w:color w:val="000000"/>
              </w:rPr>
              <w:t>权益登记日登记在册的本基金份额持有人。</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lastRenderedPageBreak/>
              <w:t>红利再投资相关事项的说明</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biaogeleft"/>
              <w:wordWrap w:val="0"/>
            </w:pPr>
            <w:r>
              <w:rPr>
                <w:rFonts w:hAnsi="Calibri" w:cs="宋体" w:hint="eastAsia"/>
                <w:color w:val="000000"/>
              </w:rPr>
              <w:t>选择红利再投资方式的投资者所转换的基金份额将以</w:t>
            </w: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20</w:t>
            </w:r>
            <w:r>
              <w:rPr>
                <w:rFonts w:hAnsi="Calibri" w:cs="宋体" w:hint="eastAsia"/>
                <w:color w:val="000000"/>
              </w:rPr>
              <w:t>日的基金份额净值为计算基准确定再投资份额，该部分基金份额于</w:t>
            </w: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21</w:t>
            </w:r>
            <w:r>
              <w:rPr>
                <w:rFonts w:hAnsi="Calibri" w:cs="宋体" w:hint="eastAsia"/>
                <w:color w:val="000000"/>
              </w:rPr>
              <w:t>日直接计入其基金账户，</w:t>
            </w: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22</w:t>
            </w:r>
            <w:r>
              <w:rPr>
                <w:rFonts w:hAnsi="Calibri" w:cs="宋体" w:hint="eastAsia"/>
                <w:color w:val="000000"/>
              </w:rPr>
              <w:t>日起投资者可以查询。</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税收相关事项的说明</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根据财政部、国家税务总局的财税</w:t>
            </w:r>
            <w:r>
              <w:t>[2002]128</w:t>
            </w:r>
            <w:r>
              <w:t>号《财政部、国家税务总局关于开放式证券投资基金有关税收问题的通知》及财税</w:t>
            </w:r>
            <w:r>
              <w:t>[2008]1</w:t>
            </w:r>
            <w:r>
              <w:t>号《关于企业所得税若干优惠政策的通知》的规定，基金向投资者分配的基金利润，暂不征收所得税。</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费用相关事项的说明</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CA6685">
            <w:pPr>
              <w:pStyle w:val="a5"/>
              <w:wordWrap w:val="0"/>
            </w:pPr>
            <w:r>
              <w:t>本基金本次分红免收分红手续费和红利再投资费用。</w:t>
            </w:r>
          </w:p>
        </w:tc>
      </w:tr>
    </w:tbl>
    <w:p w:rsidR="00000000" w:rsidRDefault="00CA6685">
      <w:pPr>
        <w:widowControl/>
        <w:jc w:val="left"/>
      </w:pPr>
    </w:p>
    <w:p w:rsidR="00000000" w:rsidRDefault="00CA6685">
      <w:pPr>
        <w:pStyle w:val="a5"/>
      </w:pPr>
      <w:r>
        <w:rPr>
          <w:b/>
        </w:rPr>
        <w:t xml:space="preserve">3 </w:t>
      </w:r>
      <w:r>
        <w:rPr>
          <w:b/>
        </w:rPr>
        <w:t>其他需要提示的事项</w:t>
      </w:r>
    </w:p>
    <w:p w:rsidR="00000000" w:rsidRDefault="00CA6685">
      <w:pPr>
        <w:pStyle w:val="a5"/>
      </w:pPr>
      <w:r>
        <w:t>  </w:t>
      </w:r>
      <w:r>
        <w:t>（</w:t>
      </w:r>
      <w:r>
        <w:t>1</w:t>
      </w:r>
      <w:r>
        <w:t>）本基金目前处于封闭运作期，不办理申购与赎回业务（红利再投资除外）。</w:t>
      </w:r>
      <w:r>
        <w:br/>
      </w:r>
      <w:r>
        <w:t>  </w:t>
      </w:r>
      <w:r>
        <w:t>（</w:t>
      </w:r>
      <w:r>
        <w:t>2</w:t>
      </w:r>
      <w:r>
        <w:t>）投资者通过任一销售机构按基金交易代码提交的分</w:t>
      </w:r>
      <w:r>
        <w:t>红方式变更申请，只对投资者在该销售机构指定交易账户下的基金份额有效，并不改变投资者在该销售机构其他交易账户或其他销售机构基金份额的分红方式。如投资者希望变更该销售机构其他交易账户或其他销售机构基金份额的分红方式，需分别按基金交易代码通过各销售机构交易账户逐一提交变更分红方式的业务申请。</w:t>
      </w:r>
      <w:r>
        <w:t> </w:t>
      </w:r>
      <w:r>
        <w:br/>
      </w:r>
      <w:r>
        <w:t>  </w:t>
      </w:r>
      <w:r>
        <w:t>（</w:t>
      </w:r>
      <w:r>
        <w:t>3</w:t>
      </w:r>
      <w:r>
        <w:t>）由于向直销客户支付现金分红款时将发生一定的银行转账手续费，为保护投资者的利益，根据本基金合同的有关规定，当直销客户的现金分红款小于</w:t>
      </w:r>
      <w:r>
        <w:t>5</w:t>
      </w:r>
      <w:r>
        <w:t>元时，本基金注册登记机构可将该客户的现金分红款自动转为基金份额计入其基金账户。</w:t>
      </w:r>
      <w:r>
        <w:br/>
      </w:r>
      <w:r>
        <w:t>  </w:t>
      </w:r>
      <w:r>
        <w:t>（</w:t>
      </w:r>
      <w:r>
        <w:t>4</w:t>
      </w:r>
      <w:r>
        <w:t>）投资者可通过本公司网站（</w:t>
      </w:r>
      <w:r>
        <w:t>www.risingamc.com</w:t>
      </w:r>
      <w:r>
        <w:t>）或客户服务电话（</w:t>
      </w:r>
      <w:r>
        <w:t>400-000-5588</w:t>
      </w:r>
      <w:r>
        <w:t>）查询分红方式是否正确，如不正确或希望变更分红方式的，请于权益登记日之前（不含权益登记日）到销售网点或通过电子交易平台办理变更手续。本次分红方式将以投资者在权益登记日之前（不含权益登记日）最后一次选择的分红方式为准。</w:t>
      </w:r>
      <w:r>
        <w:t> </w:t>
      </w:r>
      <w:r>
        <w:br/>
      </w:r>
      <w:r>
        <w:t>  </w:t>
      </w:r>
      <w:r>
        <w:t>（</w:t>
      </w:r>
      <w:r>
        <w:t>5</w:t>
      </w:r>
      <w:r>
        <w:t>）投资者可登录本公司网站或中国证监会基金电子信息披露网站（</w:t>
      </w:r>
      <w:r>
        <w:t>http://eid.csrc.gov.cn/fund</w:t>
      </w:r>
      <w:r>
        <w:t>）查询本基金其他相关信息。</w:t>
      </w:r>
      <w:r>
        <w:br/>
      </w:r>
      <w:r>
        <w:t>  </w:t>
      </w:r>
      <w:r>
        <w:t>（</w:t>
      </w:r>
      <w:r>
        <w:t>6</w:t>
      </w:r>
      <w:r>
        <w:t>）风险提示：本基金管理人承</w:t>
      </w:r>
      <w:r>
        <w:t>诺以诚实信用、勤勉尽责的原则管理和运用基金财产，但不保证本基金一定盈利，也不保证最低收益。基金的过往业绩不代表未来业绩，敬请广大投资者注意投资风险，理性投资。</w:t>
      </w:r>
      <w:r>
        <w:br/>
      </w:r>
      <w:r>
        <w:t>   </w:t>
      </w:r>
      <w:r>
        <w:br/>
      </w:r>
      <w:r>
        <w:t>    </w:t>
      </w:r>
      <w:r>
        <w:t>特此公告</w:t>
      </w:r>
      <w:r>
        <w:t> </w:t>
      </w:r>
    </w:p>
    <w:p w:rsidR="00000000" w:rsidRDefault="00CA6685">
      <w:pPr>
        <w:pStyle w:val="biaogeright"/>
      </w:pPr>
      <w:r>
        <w:rPr>
          <w:rFonts w:hAnsi="Calibri" w:cs="宋体" w:hint="eastAsia"/>
          <w:color w:val="000000"/>
        </w:rPr>
        <w:t>惠升基金管理有限责任公司</w:t>
      </w:r>
    </w:p>
    <w:p w:rsidR="00000000" w:rsidRDefault="00CA6685">
      <w:pPr>
        <w:pStyle w:val="biaogeright"/>
      </w:pP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19</w:t>
      </w:r>
      <w:r>
        <w:rPr>
          <w:rFonts w:hAnsi="Calibri" w:cs="宋体" w:hint="eastAsia"/>
          <w:color w:val="000000"/>
        </w:rPr>
        <w:t>日</w:t>
      </w:r>
    </w:p>
    <w:sectPr w:rsidR="00000000">
      <w:pgSz w:w="11926" w:h="15840"/>
      <w:pgMar w:top="1418" w:right="1418" w:bottom="853" w:left="1418" w:header="851" w:footer="99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compat>
    <w:spaceForUL/>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685"/>
    <w:rsid w:val="00CA6685"/>
    <w:rsid w:val="12730B8C"/>
    <w:rsid w:val="2B0528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qFormat/>
    <w:pPr>
      <w:widowControl/>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widowControl/>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widowControl/>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qFormat/>
    <w:pPr>
      <w:widowControl/>
      <w:spacing w:before="100" w:beforeAutospacing="1" w:after="100" w:afterAutospacing="1"/>
      <w:jc w:val="left"/>
      <w:outlineLvl w:val="3"/>
    </w:pPr>
    <w:rPr>
      <w:rFonts w:ascii="宋体" w:hAnsi="宋体" w:hint="eastAsia"/>
      <w:b/>
      <w:kern w:val="0"/>
      <w:sz w:val="24"/>
      <w:szCs w:val="24"/>
    </w:rPr>
  </w:style>
  <w:style w:type="paragraph" w:styleId="5">
    <w:name w:val="heading 5"/>
    <w:basedOn w:val="a"/>
    <w:next w:val="a"/>
    <w:qFormat/>
    <w:pPr>
      <w:widowControl/>
      <w:spacing w:before="100" w:beforeAutospacing="1" w:after="100" w:afterAutospacing="1"/>
      <w:jc w:val="left"/>
      <w:outlineLvl w:val="4"/>
    </w:pPr>
    <w:rPr>
      <w:rFonts w:ascii="宋体" w:hAnsi="宋体" w:hint="eastAsia"/>
      <w:b/>
      <w:kern w:val="0"/>
      <w:sz w:val="20"/>
      <w:szCs w:val="20"/>
    </w:rPr>
  </w:style>
  <w:style w:type="paragraph" w:styleId="6">
    <w:name w:val="heading 6"/>
    <w:basedOn w:val="a"/>
    <w:next w:val="a"/>
    <w:qFormat/>
    <w:pPr>
      <w:widowControl/>
      <w:spacing w:before="100" w:beforeAutospacing="1" w:after="100" w:afterAutospacing="1"/>
      <w:jc w:val="left"/>
      <w:outlineLvl w:val="5"/>
    </w:pPr>
    <w:rPr>
      <w:rFonts w:ascii="宋体" w:hAnsi="宋体" w:hint="eastAsia"/>
      <w:b/>
      <w:kern w:val="0"/>
      <w:sz w:val="15"/>
      <w:szCs w:val="15"/>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locked/>
    <w:rPr>
      <w:rFonts w:ascii="Times New Roman" w:hAnsi="Times New Roman" w:cs="Times New Roman" w:hint="default"/>
      <w:sz w:val="18"/>
      <w:szCs w:val="18"/>
    </w:rPr>
  </w:style>
  <w:style w:type="character" w:customStyle="1" w:styleId="Char0">
    <w:name w:val="页眉 Char"/>
    <w:basedOn w:val="a0"/>
    <w:link w:val="a4"/>
    <w:locked/>
    <w:rPr>
      <w:rFonts w:ascii="Times New Roman" w:hAnsi="Times New Roman" w:cs="Times New Roman" w:hint="default"/>
      <w:sz w:val="18"/>
      <w:szCs w:val="18"/>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kern w:val="0"/>
      <w:sz w:val="24"/>
      <w:szCs w:val="24"/>
    </w:rPr>
  </w:style>
  <w:style w:type="paragraph" w:customStyle="1" w:styleId="hide">
    <w:name w:val="hide"/>
    <w:basedOn w:val="a"/>
    <w:pPr>
      <w:widowControl/>
      <w:jc w:val="left"/>
    </w:pPr>
    <w:rPr>
      <w:rFonts w:ascii="宋体" w:hAnsi="宋体"/>
      <w:vanish/>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kern w:val="0"/>
      <w:sz w:val="24"/>
      <w:szCs w:val="24"/>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kern w:val="0"/>
      <w:sz w:val="24"/>
      <w:szCs w:val="24"/>
    </w:rPr>
  </w:style>
  <w:style w:type="paragraph" w:styleId="a3">
    <w:name w:val="footer"/>
    <w:basedOn w:val="a"/>
    <w:link w:val="Char"/>
    <w:pPr>
      <w:tabs>
        <w:tab w:val="center" w:pos="4153"/>
        <w:tab w:val="right" w:pos="8306"/>
      </w:tabs>
      <w:snapToGrid w:val="0"/>
      <w:jc w:val="left"/>
    </w:pPr>
    <w:rPr>
      <w:sz w:val="18"/>
      <w:szCs w:val="18"/>
    </w:rPr>
  </w:style>
  <w:style w:type="paragraph" w:customStyle="1" w:styleId="msonormalnone">
    <w:name w:val="msonormal_none"/>
    <w:basedOn w:val="a"/>
    <w:pPr>
      <w:jc w:val="left"/>
    </w:pPr>
  </w:style>
  <w:style w:type="paragraph" w:customStyle="1" w:styleId="msonormal1">
    <w:name w:val="msonormal1"/>
    <w:basedOn w:val="a"/>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kern w:val="0"/>
      <w:sz w:val="24"/>
      <w:szCs w:val="24"/>
    </w:rPr>
  </w:style>
  <w:style w:type="paragraph" w:customStyle="1" w:styleId="msonormalfy">
    <w:name w:val="msonormalfy"/>
    <w:basedOn w:val="a"/>
    <w:pPr>
      <w:jc w:val="center"/>
    </w:pPr>
    <w:rPr>
      <w:sz w:val="3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customStyle="1" w:styleId="biaogeleft11">
    <w:name w:val="biaoge_left11"/>
    <w:basedOn w:val="a"/>
    <w:pPr>
      <w:widowControl/>
      <w:autoSpaceDE w:val="0"/>
      <w:autoSpaceDN w:val="0"/>
      <w:adjustRightInd w:val="0"/>
      <w:spacing w:before="29" w:line="288" w:lineRule="auto"/>
      <w:ind w:left="15"/>
      <w:jc w:val="left"/>
    </w:pPr>
    <w:rPr>
      <w:rFonts w:ascii="宋体" w:hAnsi="宋体"/>
      <w:kern w:val="0"/>
      <w:sz w:val="24"/>
      <w:szCs w:val="24"/>
    </w:rPr>
  </w:style>
  <w:style w:type="paragraph" w:customStyle="1" w:styleId="biaogeright11">
    <w:name w:val="biaoge_right11"/>
    <w:basedOn w:val="a"/>
    <w:pPr>
      <w:widowControl/>
      <w:autoSpaceDE w:val="0"/>
      <w:autoSpaceDN w:val="0"/>
      <w:adjustRightInd w:val="0"/>
      <w:spacing w:before="29" w:line="288" w:lineRule="auto"/>
      <w:ind w:left="15"/>
      <w:jc w:val="right"/>
    </w:pPr>
    <w:rPr>
      <w:rFonts w:ascii="宋体" w:hAnsi="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kern w:val="0"/>
      <w:sz w:val="24"/>
      <w:szCs w:val="24"/>
    </w:rPr>
  </w:style>
  <w:style w:type="paragraph" w:customStyle="1" w:styleId="show">
    <w:name w:val="show"/>
    <w:basedOn w:val="a"/>
    <w:pPr>
      <w:widowControl/>
      <w:jc w:val="left"/>
    </w:pPr>
    <w:rPr>
      <w:rFonts w:ascii="宋体" w:hAnsi="宋体"/>
      <w:kern w:val="0"/>
      <w:sz w:val="24"/>
      <w:szCs w:val="24"/>
    </w:rPr>
  </w:style>
  <w:style w:type="paragraph" w:styleId="a5">
    <w:name w:val="Normal (Web)"/>
    <w:basedOn w:val="a"/>
    <w:pPr>
      <w:widowControl/>
      <w:spacing w:before="100" w:beforeAutospacing="1" w:after="100" w:afterAutospacing="1"/>
      <w:jc w:val="left"/>
    </w:pPr>
    <w:rPr>
      <w:rFonts w:ascii="宋体" w:hAnsi="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4</DocSecurity>
  <Lines>11</Lines>
  <Paragraphs>3</Paragraphs>
  <ScaleCrop>false</ScaleCrop>
  <Company>CNSTOCK</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王旭</dc:creator>
  <cp:keywords/>
  <cp:lastModifiedBy>ZHONGM</cp:lastModifiedBy>
  <cp:revision>2</cp:revision>
  <dcterms:created xsi:type="dcterms:W3CDTF">2024-03-18T16:00:00Z</dcterms:created>
  <dcterms:modified xsi:type="dcterms:W3CDTF">2024-03-18T16:00:00Z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