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jc w:val="center"/>
        <w:rPr>
          <w:rFonts w:asciiTheme="minorEastAsia" w:eastAsiaTheme="minorEastAsia" w:hAnsiTheme="minorEastAsia" w:cs="宋体"/>
          <w:b/>
          <w:kern w:val="0"/>
          <w:sz w:val="30"/>
          <w:szCs w:val="30"/>
        </w:rPr>
      </w:pPr>
      <w:bookmarkStart w:id="0" w:name="_GoBack"/>
      <w:bookmarkEnd w:id="0"/>
      <w:r w:rsidRPr="005C57A1">
        <w:rPr>
          <w:rFonts w:asciiTheme="minorEastAsia" w:eastAsiaTheme="minorEastAsia" w:hAnsiTheme="minorEastAsia" w:cs="宋体" w:hint="eastAsia"/>
          <w:b/>
          <w:kern w:val="0"/>
          <w:sz w:val="30"/>
          <w:szCs w:val="30"/>
        </w:rPr>
        <w:t>广发汇佳定期开放债券型发起式证券投资基金分红公告</w:t>
      </w:r>
    </w:p>
    <w:p w:rsidR="00893436" w:rsidRPr="002825C8" w:rsidRDefault="00893436" w:rsidP="00AC3CC5">
      <w:pPr>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2024年3月16日</w:t>
      </w:r>
    </w:p>
    <w:p w:rsidR="00893436" w:rsidRPr="002825C8" w:rsidRDefault="00893436" w:rsidP="00AC3CC5">
      <w:pPr>
        <w:jc w:val="center"/>
        <w:rPr>
          <w:rFonts w:asciiTheme="minorEastAsia" w:eastAsiaTheme="minorEastAsia" w:hAnsiTheme="minorEastAsia"/>
          <w:color w:val="000000"/>
          <w:sz w:val="24"/>
          <w:szCs w:val="24"/>
        </w:rPr>
      </w:pP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1"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3130"/>
        <w:gridCol w:w="4861"/>
      </w:tblGrid>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广发汇佳定期开放债券型发起式证券投资基金</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广发汇佳定期开放债券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005647</w:t>
            </w:r>
          </w:p>
        </w:tc>
      </w:tr>
      <w:tr w:rsidR="0039192C" w:rsidRPr="002825C8" w:rsidTr="001E1256">
        <w:trPr>
          <w:jc w:val="center"/>
        </w:trPr>
        <w:tc>
          <w:tcPr>
            <w:tcW w:w="4778" w:type="dxa"/>
            <w:gridSpan w:val="2"/>
            <w:vAlign w:val="center"/>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3E51F2"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2018年3月12日</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浙商银行股份有限公司</w:t>
            </w:r>
          </w:p>
        </w:tc>
      </w:tr>
      <w:tr w:rsidR="0039192C" w:rsidRPr="002825C8" w:rsidTr="001E1256">
        <w:trPr>
          <w:jc w:val="center"/>
        </w:trPr>
        <w:tc>
          <w:tcPr>
            <w:tcW w:w="4778" w:type="dxa"/>
            <w:gridSpan w:val="2"/>
          </w:tcPr>
          <w:p w:rsidR="0039192C" w:rsidRPr="002825C8" w:rsidRDefault="0039192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《中华人民共和国证券投资基金法》及其配套法规、《广发汇佳定期开放债券型发起式证券投资基金基金合同》《广发汇佳定期开放债券型发起式证券投资基金招募说明书》</w:t>
            </w:r>
          </w:p>
        </w:tc>
      </w:tr>
      <w:tr w:rsidR="00893436" w:rsidRPr="002825C8" w:rsidTr="001E1256">
        <w:trPr>
          <w:jc w:val="center"/>
        </w:trPr>
        <w:tc>
          <w:tcPr>
            <w:tcW w:w="4778" w:type="dxa"/>
            <w:gridSpan w:val="2"/>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39192C"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2024年3月12日</w:t>
            </w:r>
          </w:p>
        </w:tc>
      </w:tr>
      <w:tr w:rsidR="00B232B4" w:rsidRPr="0007182D" w:rsidTr="00252EA1">
        <w:trPr>
          <w:jc w:val="center"/>
        </w:trPr>
        <w:tc>
          <w:tcPr>
            <w:tcW w:w="1648" w:type="dxa"/>
            <w:vMerge w:val="restart"/>
            <w:vAlign w:val="center"/>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1.0250</w:t>
            </w:r>
          </w:p>
        </w:tc>
      </w:tr>
      <w:tr w:rsidR="00B232B4" w:rsidRPr="0007182D" w:rsidTr="00252EA1">
        <w:trPr>
          <w:jc w:val="center"/>
        </w:trPr>
        <w:tc>
          <w:tcPr>
            <w:tcW w:w="1648" w:type="dxa"/>
            <w:vMerge/>
          </w:tcPr>
          <w:p w:rsidR="00B232B4" w:rsidRPr="002F7561" w:rsidRDefault="00B232B4" w:rsidP="002F7561">
            <w:pPr>
              <w:rPr>
                <w:rFonts w:asciiTheme="minorEastAsia" w:eastAsiaTheme="minorEastAsia" w:hAnsiTheme="minorEastAsia"/>
                <w:color w:val="000000"/>
                <w:sz w:val="24"/>
                <w:szCs w:val="24"/>
              </w:rPr>
            </w:pPr>
          </w:p>
        </w:tc>
        <w:tc>
          <w:tcPr>
            <w:tcW w:w="3130"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w="4861" w:type="dxa"/>
          </w:tcPr>
          <w:p w:rsidR="00B232B4" w:rsidRPr="002F7561" w:rsidRDefault="00B232B4" w:rsidP="002F7561">
            <w:pPr>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54,274,342.37</w:t>
            </w:r>
          </w:p>
        </w:tc>
      </w:tr>
      <w:tr w:rsidR="00252EA1" w:rsidRPr="002825C8" w:rsidTr="002C68F9">
        <w:trPr>
          <w:jc w:val="center"/>
        </w:trPr>
        <w:tc>
          <w:tcPr>
            <w:tcW w:w="4778" w:type="dxa"/>
            <w:gridSpan w:val="2"/>
            <w:vAlign w:val="center"/>
          </w:tcPr>
          <w:p w:rsidR="00252EA1" w:rsidRPr="002825C8" w:rsidRDefault="00252EA1" w:rsidP="002C68F9">
            <w:pPr>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w="4861" w:type="dxa"/>
            <w:vAlign w:val="center"/>
          </w:tcPr>
          <w:p w:rsidR="00252EA1" w:rsidRPr="002825C8" w:rsidRDefault="00252EA1" w:rsidP="002C68F9">
            <w:pPr>
              <w:rPr>
                <w:rFonts w:asciiTheme="minorEastAsia" w:eastAsiaTheme="minorEastAsia" w:hAnsiTheme="minorEastAsia"/>
                <w:sz w:val="24"/>
                <w:szCs w:val="24"/>
              </w:rPr>
            </w:pPr>
            <w:r w:rsidRPr="003C2C83">
              <w:rPr>
                <w:rFonts w:asciiTheme="minorEastAsia" w:eastAsiaTheme="minorEastAsia" w:hAnsiTheme="minorEastAsia"/>
                <w:sz w:val="24"/>
                <w:szCs w:val="24"/>
              </w:rPr>
              <w:t>0.102</w:t>
            </w:r>
          </w:p>
        </w:tc>
      </w:tr>
      <w:tr w:rsidR="00B232B4" w:rsidRPr="002825C8" w:rsidTr="002C68F9">
        <w:trPr>
          <w:jc w:val="center"/>
        </w:trPr>
        <w:tc>
          <w:tcPr>
            <w:tcW w:w="4778" w:type="dxa"/>
            <w:gridSpan w:val="2"/>
            <w:vAlign w:val="center"/>
          </w:tcPr>
          <w:p w:rsidR="00B232B4" w:rsidRPr="002825C8" w:rsidRDefault="00B232B4" w:rsidP="002C68F9">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B232B4" w:rsidRPr="002825C8" w:rsidRDefault="00B232B4" w:rsidP="002C68F9">
            <w:pPr>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本次分红为2024年度的第1次分红</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2" w:name="_Toc275961419"/>
      <w:r w:rsidRPr="002825C8">
        <w:rPr>
          <w:rFonts w:asciiTheme="minorEastAsia" w:eastAsiaTheme="minorEastAsia" w:hAnsiTheme="minorEastAsia"/>
          <w:bCs w:val="0"/>
          <w:color w:val="000000"/>
          <w:sz w:val="24"/>
          <w:szCs w:val="24"/>
        </w:rPr>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1"/>
        <w:gridCol w:w="4819"/>
      </w:tblGrid>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gridSpan w:val="2"/>
          </w:tcPr>
          <w:p w:rsidR="00893436" w:rsidRPr="002825C8" w:rsidRDefault="00362297"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2024年3月19日</w:t>
            </w:r>
          </w:p>
        </w:tc>
      </w:tr>
      <w:tr w:rsidR="0009778C" w:rsidRPr="002825C8" w:rsidTr="007C142C">
        <w:trPr>
          <w:jc w:val="center"/>
        </w:trPr>
        <w:tc>
          <w:tcPr>
            <w:tcW w:w="4355" w:type="dxa"/>
          </w:tcPr>
          <w:p w:rsidR="0009778C" w:rsidRPr="002825C8" w:rsidRDefault="0009778C"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4355" w:type="dxa"/>
            <w:hMerge w:val="restart"/>
          </w:tcPr>
          <w:p w:rsidR="0009778C" w:rsidRPr="002825C8" w:rsidRDefault="00E16B6D"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2024年3月19日（场外）</w:t>
            </w:r>
          </w:p>
        </w:tc>
        <w:tc>
          <w:tcPr>
            <w:tcW w:w="4355" w:type="dxa"/>
            <w:hMerge/>
          </w:tcPr>
          <w:p w:rsidR="0009778C" w:rsidRPr="002825C8" w:rsidRDefault="00D421E2" w:rsidP="00D421E2">
            <w:pPr>
              <w:rPr>
                <w:rFonts w:asciiTheme="minorEastAsia" w:eastAsiaTheme="minorEastAsia" w:hAnsiTheme="minorEastAsia"/>
                <w:sz w:val="24"/>
                <w:szCs w:val="24"/>
              </w:rPr>
            </w:pPr>
            <w:r w:rsidRPr="00890BE3">
              <w:rPr>
                <w:rFonts w:asciiTheme="minorEastAsia" w:eastAsiaTheme="minorEastAsia" w:hAnsiTheme="minorEastAsia"/>
                <w:sz w:val="24"/>
                <w:szCs w:val="24"/>
              </w:rPr>
              <w:t>2024年3月19日（场外）</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w="4355" w:type="dxa"/>
            <w:gridSpan w:val="2"/>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2024年3月20日</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分红对象</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w="4355" w:type="dxa"/>
            <w:shd w:val="clear" w:color="auto" w:fill="auto"/>
            <w:vAlign w:val="center"/>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选择红利再投资方式的投资者由红利转得的基金份额将以2024年3月19日的基金份额净值为计算基准确定。2024年3月21日起投资者可以查询。</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w="4355" w:type="dxa"/>
          </w:tcPr>
          <w:p w:rsidR="00893436" w:rsidRPr="002825C8" w:rsidRDefault="00893436" w:rsidP="00AC3CC5">
            <w:pP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gridSpan w:val="2"/>
            <w:shd w:val="clear" w:color="auto" w:fill="auto"/>
          </w:tcPr>
          <w:p w:rsidR="00893436" w:rsidRPr="002825C8" w:rsidRDefault="00BA7F58" w:rsidP="00AC3CC5">
            <w:pPr>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3"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r w:rsidRPr="002825C8">
        <w:rPr>
          <w:rFonts w:asciiTheme="minorEastAsia" w:eastAsiaTheme="minorEastAsia" w:hAnsiTheme="minorEastAsia"/>
          <w:bCs w:val="0"/>
          <w:color w:val="000000"/>
          <w:sz w:val="24"/>
          <w:szCs w:val="24"/>
        </w:rPr>
        <w:t xml:space="preserve"> 其他需要提示的事项</w:t>
      </w:r>
      <w:bookmarkEnd w:id="3"/>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）权益登记日申请申购的基金份额不享有本次分红权益，权益登记日申请赎回的基金份额享有本次分红权益。</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2</w:t>
      </w:r>
      <w:r>
        <w:rPr>
          <w:rFonts w:asciiTheme="minorEastAsia" w:eastAsiaTheme="minorEastAsia" w:hAnsiTheme="minorEastAsia"/>
          <w:sz w:val="24"/>
          <w:szCs w:val="24"/>
        </w:rPr>
        <w:t>）本基金以定期开放的方式运作，即采用封闭运作和开放运作交替循环的方式。在封闭期内，本基金不办理申购、赎回和转换业务（红利再投资除外）。</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3</w:t>
      </w:r>
      <w:r>
        <w:rPr>
          <w:rFonts w:asciiTheme="minorEastAsia" w:eastAsiaTheme="minorEastAsia" w:hAnsiTheme="minorEastAsia"/>
          <w:sz w:val="24"/>
          <w:szCs w:val="24"/>
        </w:rPr>
        <w:t>）对于未选择具体分红方式的投资者，本基金默认的分红方式为现金分红。</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4</w:t>
      </w:r>
      <w:r>
        <w:rPr>
          <w:rFonts w:asciiTheme="minorEastAsia" w:eastAsiaTheme="minorEastAsia" w:hAnsiTheme="minorEastAsia"/>
          <w:sz w:val="24"/>
          <w:szCs w:val="24"/>
        </w:rPr>
        <w:t>）投资者可以在工作日的交易时间内到销售网点修改分红方式，本次分红确认的方式将按照投资者在权益登记日之前（不含</w:t>
      </w:r>
      <w:r>
        <w:rPr>
          <w:rFonts w:asciiTheme="minorEastAsia" w:eastAsiaTheme="minorEastAsia" w:hAnsiTheme="minorEastAsia"/>
          <w:sz w:val="24"/>
          <w:szCs w:val="24"/>
        </w:rPr>
        <w:t>2024</w:t>
      </w:r>
      <w:r>
        <w:rPr>
          <w:rFonts w:asciiTheme="minorEastAsia" w:eastAsiaTheme="minorEastAsia" w:hAnsiTheme="minorEastAsia"/>
          <w:sz w:val="24"/>
          <w:szCs w:val="24"/>
        </w:rPr>
        <w:t>年</w:t>
      </w:r>
      <w:r>
        <w:rPr>
          <w:rFonts w:asciiTheme="minorEastAsia" w:eastAsiaTheme="minorEastAsia" w:hAnsiTheme="minorEastAsia"/>
          <w:sz w:val="24"/>
          <w:szCs w:val="24"/>
        </w:rPr>
        <w:t>3</w:t>
      </w:r>
      <w:r>
        <w:rPr>
          <w:rFonts w:asciiTheme="minorEastAsia" w:eastAsiaTheme="minorEastAsia" w:hAnsiTheme="minorEastAsia"/>
          <w:sz w:val="24"/>
          <w:szCs w:val="24"/>
        </w:rPr>
        <w:t>月</w:t>
      </w:r>
      <w:r>
        <w:rPr>
          <w:rFonts w:asciiTheme="minorEastAsia" w:eastAsiaTheme="minorEastAsia" w:hAnsiTheme="minorEastAsia"/>
          <w:sz w:val="24"/>
          <w:szCs w:val="24"/>
        </w:rPr>
        <w:t>19</w:t>
      </w:r>
      <w:r>
        <w:rPr>
          <w:rFonts w:asciiTheme="minorEastAsia" w:eastAsiaTheme="minorEastAsia" w:hAnsiTheme="minorEastAsia"/>
          <w:sz w:val="24"/>
          <w:szCs w:val="24"/>
        </w:rPr>
        <w:t>日）最后一次选择的分红方式为准。请投资者到销</w:t>
      </w:r>
      <w:r>
        <w:rPr>
          <w:rFonts w:asciiTheme="minorEastAsia" w:eastAsiaTheme="minorEastAsia" w:hAnsiTheme="minorEastAsia"/>
          <w:sz w:val="24"/>
          <w:szCs w:val="24"/>
        </w:rPr>
        <w:t>售网点或通过本公司客户服务电话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确认分红方式是否正确，如不正确或希望修改分红方式的，请务必在规定时间前到销售网点办理变更手续。</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sz w:val="24"/>
          <w:szCs w:val="24"/>
        </w:rPr>
        <w:t>5</w:t>
      </w:r>
      <w:r>
        <w:rPr>
          <w:rFonts w:asciiTheme="minorEastAsia" w:eastAsiaTheme="minorEastAsia" w:hAnsiTheme="minorEastAsia"/>
          <w:sz w:val="24"/>
          <w:szCs w:val="24"/>
        </w:rPr>
        <w:t>）投资者通过某一销售机构指定交易账户按基金代码提交的分红方式变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w:t>
      </w:r>
      <w:r>
        <w:rPr>
          <w:rFonts w:asciiTheme="minorEastAsia" w:eastAsiaTheme="minorEastAsia" w:hAnsiTheme="minorEastAsia"/>
          <w:sz w:val="24"/>
          <w:szCs w:val="24"/>
        </w:rPr>
        <w:t>请。详见本公司于</w:t>
      </w:r>
      <w:r>
        <w:rPr>
          <w:rFonts w:asciiTheme="minorEastAsia" w:eastAsiaTheme="minorEastAsia" w:hAnsiTheme="minorEastAsia"/>
          <w:sz w:val="24"/>
          <w:szCs w:val="24"/>
        </w:rPr>
        <w:t>2023</w:t>
      </w:r>
      <w:r>
        <w:rPr>
          <w:rFonts w:asciiTheme="minorEastAsia" w:eastAsiaTheme="minorEastAsia" w:hAnsiTheme="minorEastAsia"/>
          <w:sz w:val="24"/>
          <w:szCs w:val="24"/>
        </w:rPr>
        <w:t>年</w:t>
      </w:r>
      <w:r>
        <w:rPr>
          <w:rFonts w:asciiTheme="minorEastAsia" w:eastAsiaTheme="minorEastAsia" w:hAnsiTheme="minorEastAsia"/>
          <w:sz w:val="24"/>
          <w:szCs w:val="24"/>
        </w:rPr>
        <w:t>2</w:t>
      </w:r>
      <w:r>
        <w:rPr>
          <w:rFonts w:asciiTheme="minorEastAsia" w:eastAsiaTheme="minorEastAsia" w:hAnsiTheme="minorEastAsia"/>
          <w:sz w:val="24"/>
          <w:szCs w:val="24"/>
        </w:rPr>
        <w:t>月</w:t>
      </w:r>
      <w:r>
        <w:rPr>
          <w:rFonts w:asciiTheme="minorEastAsia" w:eastAsiaTheme="minorEastAsia" w:hAnsiTheme="minorEastAsia"/>
          <w:sz w:val="24"/>
          <w:szCs w:val="24"/>
        </w:rPr>
        <w:t>23</w:t>
      </w:r>
      <w:r>
        <w:rPr>
          <w:rFonts w:asciiTheme="minorEastAsia" w:eastAsiaTheme="minorEastAsia" w:hAnsiTheme="minorEastAsia"/>
          <w:sz w:val="24"/>
          <w:szCs w:val="24"/>
        </w:rPr>
        <w:t>日发布的《广发基金管理有限公司关于调整旗下部分开放式基金分红方式变更规则的公告》。</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w:t>
      </w:r>
      <w:r>
        <w:rPr>
          <w:rFonts w:asciiTheme="minorEastAsia" w:eastAsiaTheme="minorEastAsia" w:hAnsiTheme="minorEastAsia"/>
          <w:sz w:val="24"/>
          <w:szCs w:val="24"/>
        </w:rPr>
        <w:t>6</w:t>
      </w:r>
      <w:r>
        <w:rPr>
          <w:rFonts w:asciiTheme="minorEastAsia" w:eastAsiaTheme="minorEastAsia" w:hAnsiTheme="minorEastAsia"/>
          <w:sz w:val="24"/>
          <w:szCs w:val="24"/>
        </w:rPr>
        <w:t>）建议基金份额持有人在修改分红方式后，在</w:t>
      </w:r>
      <w:r>
        <w:rPr>
          <w:rFonts w:asciiTheme="minorEastAsia" w:eastAsiaTheme="minorEastAsia" w:hAnsiTheme="minorEastAsia"/>
          <w:sz w:val="24"/>
          <w:szCs w:val="24"/>
        </w:rPr>
        <w:t>T+2</w:t>
      </w:r>
      <w:r>
        <w:rPr>
          <w:rFonts w:asciiTheme="minorEastAsia" w:eastAsiaTheme="minorEastAsia" w:hAnsiTheme="minorEastAsia"/>
          <w:sz w:val="24"/>
          <w:szCs w:val="24"/>
        </w:rPr>
        <w:t>日（申请修改分红方式之日为</w:t>
      </w:r>
      <w:r>
        <w:rPr>
          <w:rFonts w:asciiTheme="minorEastAsia" w:eastAsiaTheme="minorEastAsia" w:hAnsiTheme="minorEastAsia"/>
          <w:sz w:val="24"/>
          <w:szCs w:val="24"/>
        </w:rPr>
        <w:t>T</w:t>
      </w:r>
      <w:r>
        <w:rPr>
          <w:rFonts w:asciiTheme="minorEastAsia" w:eastAsiaTheme="minorEastAsia" w:hAnsiTheme="minorEastAsia"/>
          <w:sz w:val="24"/>
          <w:szCs w:val="24"/>
        </w:rPr>
        <w:t>日）后（含</w:t>
      </w:r>
      <w:r>
        <w:rPr>
          <w:rFonts w:asciiTheme="minorEastAsia" w:eastAsiaTheme="minorEastAsia" w:hAnsiTheme="minorEastAsia"/>
          <w:sz w:val="24"/>
          <w:szCs w:val="24"/>
        </w:rPr>
        <w:t>T+2</w:t>
      </w:r>
      <w:r>
        <w:rPr>
          <w:rFonts w:asciiTheme="minorEastAsia" w:eastAsiaTheme="minorEastAsia" w:hAnsiTheme="minorEastAsia"/>
          <w:sz w:val="24"/>
          <w:szCs w:val="24"/>
        </w:rPr>
        <w:t>日）向销售网点或本公司确认分红方式的修改是否成功。</w:t>
      </w:r>
    </w:p>
    <w:p w:rsidR="00DF724C" w:rsidRDefault="00BE5868">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w:t>
      </w:r>
      <w:r>
        <w:rPr>
          <w:rFonts w:asciiTheme="minorEastAsia" w:eastAsiaTheme="minorEastAsia" w:hAnsiTheme="minorEastAsia"/>
          <w:sz w:val="24"/>
          <w:szCs w:val="24"/>
        </w:rPr>
        <w:t>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Pr>
          <w:rFonts w:asciiTheme="minorEastAsia" w:eastAsiaTheme="minorEastAsia" w:hAnsiTheme="minorEastAsia"/>
          <w:sz w:val="24"/>
          <w:szCs w:val="24"/>
        </w:rPr>
        <w:t>“</w:t>
      </w:r>
      <w:r>
        <w:rPr>
          <w:rFonts w:asciiTheme="minorEastAsia" w:eastAsiaTheme="minorEastAsia" w:hAnsiTheme="minorEastAsia"/>
          <w:sz w:val="24"/>
          <w:szCs w:val="24"/>
        </w:rPr>
        <w:t>买者自负</w:t>
      </w:r>
      <w:r>
        <w:rPr>
          <w:rFonts w:asciiTheme="minorEastAsia" w:eastAsiaTheme="minorEastAsia" w:hAnsiTheme="minorEastAsia"/>
          <w:sz w:val="24"/>
          <w:szCs w:val="24"/>
        </w:rPr>
        <w:t>”</w:t>
      </w:r>
      <w:r>
        <w:rPr>
          <w:rFonts w:asciiTheme="minorEastAsia" w:eastAsiaTheme="minorEastAsia" w:hAnsiTheme="minorEastAsia"/>
          <w:sz w:val="24"/>
          <w:szCs w:val="24"/>
        </w:rPr>
        <w:t>原则，在投资者作出投资决策后，基金运营状况与基金净值变化引致的投资风险，由投资者自行负责。投资者欲了解有关分红的情况，可到办理业务的当地销售网点查询，也可以登录本公司</w:t>
      </w:r>
      <w:r>
        <w:rPr>
          <w:rFonts w:asciiTheme="minorEastAsia" w:eastAsiaTheme="minorEastAsia" w:hAnsiTheme="minorEastAsia"/>
          <w:sz w:val="24"/>
          <w:szCs w:val="24"/>
        </w:rPr>
        <w:t>网站（</w:t>
      </w:r>
      <w:r>
        <w:rPr>
          <w:rFonts w:asciiTheme="minorEastAsia" w:eastAsiaTheme="minorEastAsia" w:hAnsiTheme="minorEastAsia"/>
          <w:sz w:val="24"/>
          <w:szCs w:val="24"/>
        </w:rPr>
        <w:t>www.gffunds.com.cn</w:t>
      </w:r>
      <w:r>
        <w:rPr>
          <w:rFonts w:asciiTheme="minorEastAsia" w:eastAsiaTheme="minorEastAsia" w:hAnsiTheme="minorEastAsia"/>
          <w:sz w:val="24"/>
          <w:szCs w:val="24"/>
        </w:rPr>
        <w:t>）或拨打本公司客户服务电话</w:t>
      </w:r>
      <w:r>
        <w:rPr>
          <w:rFonts w:asciiTheme="minorEastAsia" w:eastAsiaTheme="minorEastAsia" w:hAnsiTheme="minorEastAsia"/>
          <w:sz w:val="24"/>
          <w:szCs w:val="24"/>
        </w:rPr>
        <w:t>95105828</w:t>
      </w:r>
      <w:r>
        <w:rPr>
          <w:rFonts w:asciiTheme="minorEastAsia" w:eastAsiaTheme="minorEastAsia" w:hAnsiTheme="minorEastAsia"/>
          <w:sz w:val="24"/>
          <w:szCs w:val="24"/>
        </w:rPr>
        <w:t>或</w:t>
      </w:r>
      <w:r>
        <w:rPr>
          <w:rFonts w:asciiTheme="minorEastAsia" w:eastAsiaTheme="minorEastAsia" w:hAnsiTheme="minorEastAsia"/>
          <w:sz w:val="24"/>
          <w:szCs w:val="24"/>
        </w:rPr>
        <w:t>020-83936999</w:t>
      </w:r>
      <w:r>
        <w:rPr>
          <w:rFonts w:asciiTheme="minorEastAsia" w:eastAsiaTheme="minorEastAsia" w:hAnsiTheme="minorEastAsia"/>
          <w:sz w:val="24"/>
          <w:szCs w:val="24"/>
        </w:rPr>
        <w:t>咨询相关事宜。</w:t>
      </w:r>
    </w:p>
    <w:p w:rsidR="00364C2A" w:rsidRDefault="00284B1B" w:rsidP="00A3175B">
      <w:pPr>
        <w:ind w:firstLineChars="200" w:firstLine="48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R="00971CCF" w:rsidRDefault="00971CCF" w:rsidP="007C142C">
      <w:pPr>
        <w:ind w:firstLineChars="200" w:firstLine="480"/>
        <w:rPr>
          <w:rFonts w:asciiTheme="minorEastAsia" w:eastAsiaTheme="minorEastAsia" w:hAnsiTheme="minorEastAsia"/>
          <w:sz w:val="24"/>
          <w:szCs w:val="24"/>
        </w:rPr>
      </w:pPr>
    </w:p>
    <w:p w:rsidR="00971CCF" w:rsidRDefault="00971CCF" w:rsidP="007C142C">
      <w:pPr>
        <w:ind w:firstLineChars="200" w:firstLine="480"/>
        <w:rPr>
          <w:rFonts w:asciiTheme="minorEastAsia" w:eastAsiaTheme="minorEastAsia" w:hAnsiTheme="minorEastAsia"/>
          <w:sz w:val="24"/>
          <w:szCs w:val="24"/>
        </w:rPr>
      </w:pPr>
    </w:p>
    <w:p w:rsidR="00971CCF" w:rsidRPr="005F1BF7" w:rsidRDefault="00971CCF" w:rsidP="00971CCF">
      <w:pPr>
        <w:jc w:val="right"/>
        <w:rPr>
          <w:rFonts w:asciiTheme="minorEastAsia" w:eastAsiaTheme="minorEastAsia" w:hAnsiTheme="minorEastAsia"/>
          <w:bCs/>
          <w:color w:val="000000" w:themeColor="text1"/>
          <w:sz w:val="24"/>
          <w:szCs w:val="24"/>
        </w:rPr>
      </w:pPr>
      <w:r w:rsidRPr="005F1BF7">
        <w:rPr>
          <w:rFonts w:asciiTheme="minorEastAsia" w:eastAsiaTheme="minorEastAsia" w:hAnsiTheme="minorEastAsia"/>
          <w:bCs/>
          <w:color w:val="000000" w:themeColor="text1"/>
          <w:sz w:val="24"/>
          <w:szCs w:val="24"/>
        </w:rPr>
        <w:t>广发基金管理有限公司</w:t>
      </w:r>
    </w:p>
    <w:p w:rsidR="00971CCF" w:rsidRPr="005F1BF7" w:rsidRDefault="00971CCF" w:rsidP="00971CCF">
      <w:pPr>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val="000000" w:themeColor="text1"/>
          <w:sz w:val="24"/>
          <w:szCs w:val="24"/>
        </w:rPr>
        <w:t>2024年3月16日</w:t>
      </w:r>
    </w:p>
    <w:sectPr w:rsidR="00971CCF" w:rsidRPr="005F1BF7"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C7" w:rsidRDefault="007621C7" w:rsidP="00893436">
      <w:r>
        <w:separator/>
      </w:r>
    </w:p>
  </w:endnote>
  <w:endnote w:type="continuationSeparator" w:id="0">
    <w:p w:rsidR="007621C7" w:rsidRDefault="007621C7"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C7" w:rsidRDefault="007621C7" w:rsidP="00893436">
      <w:r>
        <w:separator/>
      </w:r>
    </w:p>
  </w:footnote>
  <w:footnote w:type="continuationSeparator" w:id="0">
    <w:p w:rsidR="007621C7" w:rsidRDefault="007621C7"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523D1"/>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621C7"/>
    <w:rsid w:val="007C142C"/>
    <w:rsid w:val="007D01E7"/>
    <w:rsid w:val="007F6075"/>
    <w:rsid w:val="00834BAE"/>
    <w:rsid w:val="00893436"/>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36EEF"/>
    <w:rsid w:val="00B44BBE"/>
    <w:rsid w:val="00B71DA2"/>
    <w:rsid w:val="00BA6FE9"/>
    <w:rsid w:val="00BA7F58"/>
    <w:rsid w:val="00BD2B72"/>
    <w:rsid w:val="00BD7533"/>
    <w:rsid w:val="00BE5868"/>
    <w:rsid w:val="00BF5698"/>
    <w:rsid w:val="00C11CA3"/>
    <w:rsid w:val="00C25D5E"/>
    <w:rsid w:val="00C31B5B"/>
    <w:rsid w:val="00C33DDD"/>
    <w:rsid w:val="00CA643D"/>
    <w:rsid w:val="00CB3D18"/>
    <w:rsid w:val="00CC001C"/>
    <w:rsid w:val="00D05601"/>
    <w:rsid w:val="00D421E2"/>
    <w:rsid w:val="00DB7CD4"/>
    <w:rsid w:val="00DD0EC0"/>
    <w:rsid w:val="00DD2A30"/>
    <w:rsid w:val="00DF724C"/>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72"/>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1532</Characters>
  <Application>Microsoft Office Word</Application>
  <DocSecurity>4</DocSecurity>
  <Lines>12</Lines>
  <Paragraphs>3</Paragraphs>
  <ScaleCrop>false</ScaleCrop>
  <Company>微软中国</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2024-03-15T16:01:00Z</dcterms:created>
  <dcterms:modified xsi:type="dcterms:W3CDTF">2024-03-15T16:01:00Z</dcterms:modified>
</cp:coreProperties>
</file>