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C3" w:rsidRPr="00C33BCD" w:rsidRDefault="006C5974" w:rsidP="00AF36B9">
      <w:pPr>
        <w:widowControl/>
        <w:spacing w:after="240" w:line="360" w:lineRule="auto"/>
        <w:jc w:val="center"/>
        <w:rPr>
          <w:rFonts w:ascii="宋体" w:eastAsia="宋体" w:hAnsi="宋体" w:cs="宋体"/>
          <w:b/>
          <w:kern w:val="0"/>
          <w:sz w:val="28"/>
          <w:szCs w:val="28"/>
        </w:rPr>
      </w:pPr>
      <w:r w:rsidRPr="006C5974">
        <w:rPr>
          <w:rFonts w:ascii="宋体" w:eastAsia="宋体" w:hAnsi="宋体" w:cs="宋体" w:hint="eastAsia"/>
          <w:b/>
          <w:kern w:val="0"/>
          <w:sz w:val="28"/>
          <w:szCs w:val="28"/>
        </w:rPr>
        <w:t>汇安基金管理有限责任公司关于</w:t>
      </w:r>
      <w:bookmarkStart w:id="0" w:name="_Hlk160635993"/>
      <w:r w:rsidRPr="006C5974">
        <w:rPr>
          <w:rFonts w:ascii="宋体" w:eastAsia="宋体" w:hAnsi="宋体" w:cs="宋体" w:hint="eastAsia"/>
          <w:b/>
          <w:kern w:val="0"/>
          <w:sz w:val="28"/>
          <w:szCs w:val="28"/>
        </w:rPr>
        <w:t>汇安丰恒灵活配置混合型证券投资基金</w:t>
      </w:r>
      <w:bookmarkEnd w:id="0"/>
      <w:r w:rsidR="00FF78B9">
        <w:rPr>
          <w:rFonts w:ascii="宋体" w:eastAsia="宋体" w:hAnsi="宋体" w:cs="宋体" w:hint="eastAsia"/>
          <w:b/>
          <w:kern w:val="0"/>
          <w:sz w:val="28"/>
          <w:szCs w:val="28"/>
        </w:rPr>
        <w:t>变更</w:t>
      </w:r>
      <w:r w:rsidRPr="006C5974">
        <w:rPr>
          <w:rFonts w:ascii="宋体" w:eastAsia="宋体" w:hAnsi="宋体" w:cs="宋体" w:hint="eastAsia"/>
          <w:b/>
          <w:kern w:val="0"/>
          <w:sz w:val="28"/>
          <w:szCs w:val="28"/>
        </w:rPr>
        <w:t>业绩比较基准并修改基金合同的公告</w:t>
      </w:r>
    </w:p>
    <w:p w:rsidR="007E6092" w:rsidRPr="007E6092" w:rsidRDefault="008929B1" w:rsidP="007E6092">
      <w:pPr>
        <w:widowControl/>
        <w:spacing w:line="360" w:lineRule="auto"/>
        <w:ind w:firstLine="420"/>
        <w:rPr>
          <w:rFonts w:ascii="宋体" w:eastAsia="宋体" w:hAnsi="宋体"/>
          <w:sz w:val="24"/>
          <w:szCs w:val="24"/>
        </w:rPr>
      </w:pPr>
      <w:r w:rsidRPr="003A0EBB">
        <w:rPr>
          <w:rFonts w:ascii="宋体" w:eastAsia="宋体" w:hAnsi="宋体" w:hint="eastAsia"/>
          <w:sz w:val="24"/>
          <w:szCs w:val="24"/>
        </w:rPr>
        <w:t>根据《中华人民共和国证券投资基金法》</w:t>
      </w:r>
      <w:r w:rsidR="00A4641B">
        <w:rPr>
          <w:rFonts w:ascii="宋体" w:eastAsia="宋体" w:hAnsi="宋体" w:hint="eastAsia"/>
          <w:sz w:val="24"/>
          <w:szCs w:val="24"/>
        </w:rPr>
        <w:t>、</w:t>
      </w:r>
      <w:r w:rsidRPr="003A0EBB">
        <w:rPr>
          <w:rFonts w:ascii="宋体" w:eastAsia="宋体" w:hAnsi="宋体" w:hint="eastAsia"/>
          <w:sz w:val="24"/>
          <w:szCs w:val="24"/>
        </w:rPr>
        <w:t>《公开募集证券投资基金运作管理办法》和《汇安丰恒灵活配置混合型证券投资基金基金合同》（以下简称“《基金合同》”）的有关规定，为维护基金份额持有人的合法权益，以更科学、合理的业绩比较基准评价</w:t>
      </w:r>
      <w:r w:rsidRPr="00A00D14">
        <w:rPr>
          <w:rFonts w:ascii="宋体" w:eastAsia="宋体" w:hAnsi="宋体" w:hint="eastAsia"/>
          <w:sz w:val="24"/>
          <w:szCs w:val="24"/>
        </w:rPr>
        <w:t>汇安丰恒灵活配置混合型证券投资基金</w:t>
      </w:r>
      <w:r w:rsidRPr="003A0EBB">
        <w:rPr>
          <w:rFonts w:ascii="宋体" w:eastAsia="宋体" w:hAnsi="宋体" w:hint="eastAsia"/>
          <w:sz w:val="24"/>
          <w:szCs w:val="24"/>
        </w:rPr>
        <w:t>（以下简称“本基金”）的业绩表现，</w:t>
      </w:r>
      <w:r>
        <w:rPr>
          <w:rFonts w:ascii="宋体" w:eastAsia="宋体" w:hAnsi="宋体" w:hint="eastAsia"/>
          <w:sz w:val="24"/>
          <w:szCs w:val="24"/>
        </w:rPr>
        <w:t>汇安</w:t>
      </w:r>
      <w:r w:rsidRPr="003A0EBB">
        <w:rPr>
          <w:rFonts w:ascii="宋体" w:eastAsia="宋体" w:hAnsi="宋体" w:hint="eastAsia"/>
          <w:sz w:val="24"/>
          <w:szCs w:val="24"/>
        </w:rPr>
        <w:t>基金管理有限</w:t>
      </w:r>
      <w:r>
        <w:rPr>
          <w:rFonts w:ascii="宋体" w:eastAsia="宋体" w:hAnsi="宋体" w:hint="eastAsia"/>
          <w:sz w:val="24"/>
          <w:szCs w:val="24"/>
        </w:rPr>
        <w:t>责任</w:t>
      </w:r>
      <w:r w:rsidRPr="003A0EBB">
        <w:rPr>
          <w:rFonts w:ascii="宋体" w:eastAsia="宋体" w:hAnsi="宋体" w:hint="eastAsia"/>
          <w:sz w:val="24"/>
          <w:szCs w:val="24"/>
        </w:rPr>
        <w:t>公司（以下简称“本公司”）经与基金托管人</w:t>
      </w:r>
      <w:r>
        <w:rPr>
          <w:rFonts w:ascii="宋体" w:eastAsia="宋体" w:hAnsi="宋体" w:hint="eastAsia"/>
          <w:sz w:val="24"/>
          <w:szCs w:val="24"/>
        </w:rPr>
        <w:t>上海浦东发展</w:t>
      </w:r>
      <w:r w:rsidRPr="003A0EBB">
        <w:rPr>
          <w:rFonts w:ascii="宋体" w:eastAsia="宋体" w:hAnsi="宋体" w:hint="eastAsia"/>
          <w:sz w:val="24"/>
          <w:szCs w:val="24"/>
        </w:rPr>
        <w:t>银行股份有限公司协商一致，决定于</w:t>
      </w:r>
      <w:r w:rsidRPr="003A0EBB">
        <w:rPr>
          <w:rFonts w:ascii="宋体" w:eastAsia="宋体" w:hAnsi="宋体"/>
          <w:sz w:val="24"/>
          <w:szCs w:val="24"/>
        </w:rPr>
        <w:t>2024年</w:t>
      </w:r>
      <w:r w:rsidR="00D07EAD">
        <w:rPr>
          <w:rFonts w:ascii="宋体" w:eastAsia="宋体" w:hAnsi="宋体" w:hint="eastAsia"/>
          <w:sz w:val="24"/>
          <w:szCs w:val="24"/>
        </w:rPr>
        <w:t>3</w:t>
      </w:r>
      <w:r w:rsidRPr="003A0EBB">
        <w:rPr>
          <w:rFonts w:ascii="宋体" w:eastAsia="宋体" w:hAnsi="宋体" w:hint="eastAsia"/>
          <w:sz w:val="24"/>
          <w:szCs w:val="24"/>
        </w:rPr>
        <w:t>月</w:t>
      </w:r>
      <w:r w:rsidR="00D07EAD">
        <w:rPr>
          <w:rFonts w:ascii="宋体" w:eastAsia="宋体" w:hAnsi="宋体" w:hint="eastAsia"/>
          <w:sz w:val="24"/>
          <w:szCs w:val="24"/>
        </w:rPr>
        <w:t>15</w:t>
      </w:r>
      <w:r w:rsidRPr="003A0EBB">
        <w:rPr>
          <w:rFonts w:ascii="宋体" w:eastAsia="宋体" w:hAnsi="宋体" w:hint="eastAsia"/>
          <w:sz w:val="24"/>
          <w:szCs w:val="24"/>
        </w:rPr>
        <w:t>日起变更本基金的业绩比较基准，并相应修改《基金合同》等法律文件。</w:t>
      </w:r>
      <w:r w:rsidR="007E6092" w:rsidRPr="007E6092">
        <w:rPr>
          <w:rFonts w:ascii="宋体" w:eastAsia="宋体" w:hAnsi="宋体"/>
          <w:sz w:val="24"/>
          <w:szCs w:val="24"/>
        </w:rPr>
        <w:t>：</w:t>
      </w:r>
    </w:p>
    <w:p w:rsidR="003017A8" w:rsidRPr="003017A8" w:rsidRDefault="003017A8" w:rsidP="003017A8">
      <w:pPr>
        <w:widowControl/>
        <w:spacing w:line="360" w:lineRule="auto"/>
        <w:ind w:firstLine="420"/>
        <w:rPr>
          <w:rFonts w:ascii="宋体" w:eastAsia="宋体" w:hAnsi="宋体"/>
          <w:sz w:val="24"/>
          <w:szCs w:val="24"/>
        </w:rPr>
      </w:pPr>
      <w:r w:rsidRPr="003017A8">
        <w:rPr>
          <w:rFonts w:ascii="宋体" w:eastAsia="宋体" w:hAnsi="宋体" w:hint="eastAsia"/>
          <w:sz w:val="24"/>
          <w:szCs w:val="24"/>
        </w:rPr>
        <w:t>现将有关事项公告如下：</w:t>
      </w:r>
    </w:p>
    <w:p w:rsidR="003017A8" w:rsidRPr="003017A8" w:rsidRDefault="003017A8" w:rsidP="003A0EBB">
      <w:pPr>
        <w:widowControl/>
        <w:spacing w:before="240" w:line="360" w:lineRule="auto"/>
        <w:ind w:firstLine="420"/>
        <w:rPr>
          <w:rFonts w:ascii="宋体" w:eastAsia="宋体" w:hAnsi="宋体"/>
          <w:sz w:val="24"/>
          <w:szCs w:val="24"/>
        </w:rPr>
      </w:pPr>
      <w:r w:rsidRPr="003017A8">
        <w:rPr>
          <w:rFonts w:ascii="宋体" w:eastAsia="宋体" w:hAnsi="宋体" w:hint="eastAsia"/>
          <w:sz w:val="24"/>
          <w:szCs w:val="24"/>
        </w:rPr>
        <w:t>一、业绩比较基准的变更</w:t>
      </w:r>
    </w:p>
    <w:p w:rsidR="003017A8" w:rsidRPr="003A0EBB" w:rsidRDefault="003017A8" w:rsidP="003017A8">
      <w:pPr>
        <w:spacing w:line="360" w:lineRule="auto"/>
        <w:ind w:firstLineChars="200" w:firstLine="480"/>
        <w:rPr>
          <w:rFonts w:ascii="宋体" w:eastAsia="宋体" w:hAnsi="宋体"/>
          <w:sz w:val="24"/>
          <w:szCs w:val="24"/>
        </w:rPr>
      </w:pPr>
      <w:r w:rsidRPr="003017A8">
        <w:rPr>
          <w:rFonts w:ascii="宋体" w:eastAsia="宋体" w:hAnsi="宋体" w:hint="eastAsia"/>
          <w:sz w:val="24"/>
          <w:szCs w:val="24"/>
        </w:rPr>
        <w:t>本基金原业绩比较基准：</w:t>
      </w:r>
      <w:r w:rsidRPr="003A0EBB">
        <w:rPr>
          <w:rFonts w:ascii="宋体" w:eastAsia="宋体" w:hAnsi="宋体" w:hint="eastAsia"/>
          <w:sz w:val="24"/>
          <w:szCs w:val="24"/>
        </w:rPr>
        <w:t>沪深</w:t>
      </w:r>
      <w:r w:rsidRPr="003A0EBB">
        <w:rPr>
          <w:rFonts w:ascii="宋体" w:eastAsia="宋体" w:hAnsi="宋体"/>
          <w:sz w:val="24"/>
          <w:szCs w:val="24"/>
        </w:rPr>
        <w:t>300</w:t>
      </w:r>
      <w:r w:rsidRPr="003A0EBB">
        <w:rPr>
          <w:rFonts w:ascii="宋体" w:eastAsia="宋体" w:hAnsi="宋体" w:hint="eastAsia"/>
          <w:sz w:val="24"/>
          <w:szCs w:val="24"/>
        </w:rPr>
        <w:t>指数收益率×</w:t>
      </w:r>
      <w:r w:rsidRPr="003A0EBB">
        <w:rPr>
          <w:rFonts w:ascii="宋体" w:eastAsia="宋体" w:hAnsi="宋体"/>
          <w:sz w:val="24"/>
          <w:szCs w:val="24"/>
        </w:rPr>
        <w:t>50%+</w:t>
      </w:r>
      <w:r w:rsidRPr="003A0EBB">
        <w:rPr>
          <w:rFonts w:ascii="宋体" w:eastAsia="宋体" w:hAnsi="宋体" w:hint="eastAsia"/>
          <w:sz w:val="24"/>
          <w:szCs w:val="24"/>
        </w:rPr>
        <w:t>上证国债指数收益率×</w:t>
      </w:r>
      <w:r w:rsidRPr="003A0EBB">
        <w:rPr>
          <w:rFonts w:ascii="宋体" w:eastAsia="宋体" w:hAnsi="宋体"/>
          <w:sz w:val="24"/>
          <w:szCs w:val="24"/>
        </w:rPr>
        <w:t>50%</w:t>
      </w:r>
    </w:p>
    <w:p w:rsidR="003017A8" w:rsidRPr="003017A8" w:rsidRDefault="003017A8" w:rsidP="003017A8">
      <w:pPr>
        <w:widowControl/>
        <w:spacing w:line="360" w:lineRule="auto"/>
        <w:ind w:firstLine="420"/>
        <w:rPr>
          <w:rFonts w:ascii="宋体" w:eastAsia="宋体" w:hAnsi="宋体"/>
          <w:sz w:val="24"/>
          <w:szCs w:val="24"/>
        </w:rPr>
      </w:pPr>
      <w:r w:rsidRPr="003017A8">
        <w:rPr>
          <w:rFonts w:ascii="宋体" w:eastAsia="宋体" w:hAnsi="宋体" w:hint="eastAsia"/>
          <w:sz w:val="24"/>
          <w:szCs w:val="24"/>
        </w:rPr>
        <w:t>本基金修改后的业绩比较基准：中证中信证券量化债股优选稳健策略指数收益率</w:t>
      </w:r>
      <w:r w:rsidRPr="003017A8">
        <w:rPr>
          <w:rFonts w:ascii="宋体" w:eastAsia="宋体" w:hAnsi="宋体"/>
          <w:sz w:val="24"/>
          <w:szCs w:val="24"/>
        </w:rPr>
        <w:t>*95%+银行活期存款利率(税后)*5%</w:t>
      </w:r>
    </w:p>
    <w:p w:rsidR="003017A8" w:rsidRPr="003017A8" w:rsidRDefault="003017A8" w:rsidP="003A0EBB">
      <w:pPr>
        <w:widowControl/>
        <w:spacing w:before="240" w:line="360" w:lineRule="auto"/>
        <w:ind w:firstLine="420"/>
        <w:rPr>
          <w:rFonts w:ascii="宋体" w:eastAsia="宋体" w:hAnsi="宋体"/>
          <w:sz w:val="24"/>
          <w:szCs w:val="24"/>
        </w:rPr>
      </w:pPr>
      <w:r w:rsidRPr="003017A8">
        <w:rPr>
          <w:rFonts w:ascii="宋体" w:eastAsia="宋体" w:hAnsi="宋体" w:hint="eastAsia"/>
          <w:sz w:val="24"/>
          <w:szCs w:val="24"/>
        </w:rPr>
        <w:t>二、《基金合同》相关条款的修改</w:t>
      </w:r>
    </w:p>
    <w:p w:rsidR="007C5E09" w:rsidRPr="007C5E09" w:rsidRDefault="007C5E09" w:rsidP="007C5E09">
      <w:pPr>
        <w:widowControl/>
        <w:spacing w:line="360" w:lineRule="auto"/>
        <w:ind w:firstLine="420"/>
        <w:rPr>
          <w:rFonts w:ascii="宋体" w:eastAsia="宋体" w:hAnsi="宋体"/>
          <w:sz w:val="24"/>
          <w:szCs w:val="24"/>
        </w:rPr>
      </w:pPr>
      <w:r w:rsidRPr="007C5E09">
        <w:rPr>
          <w:rFonts w:ascii="宋体" w:eastAsia="宋体" w:hAnsi="宋体" w:hint="eastAsia"/>
          <w:sz w:val="24"/>
          <w:szCs w:val="24"/>
        </w:rPr>
        <w:t>根据上述方案，对本基金的</w:t>
      </w:r>
      <w:r w:rsidR="00566679">
        <w:rPr>
          <w:rFonts w:ascii="宋体" w:eastAsia="宋体" w:hAnsi="宋体" w:hint="eastAsia"/>
          <w:sz w:val="24"/>
          <w:szCs w:val="24"/>
        </w:rPr>
        <w:t>《基金合同》</w:t>
      </w:r>
      <w:r w:rsidRPr="007C5E09">
        <w:rPr>
          <w:rFonts w:ascii="宋体" w:eastAsia="宋体" w:hAnsi="宋体" w:hint="eastAsia"/>
          <w:sz w:val="24"/>
          <w:szCs w:val="24"/>
        </w:rPr>
        <w:t>修订如下：</w:t>
      </w:r>
      <w:r w:rsidRPr="007C5E09">
        <w:rPr>
          <w:rFonts w:ascii="宋体" w:eastAsia="宋体" w:hAnsi="宋体"/>
          <w:sz w:val="24"/>
          <w:szCs w:val="24"/>
        </w:rPr>
        <w:t xml:space="preserve"> </w:t>
      </w:r>
    </w:p>
    <w:p w:rsidR="007C5E09" w:rsidRPr="007C5E09" w:rsidRDefault="007C5E09" w:rsidP="007C5E09">
      <w:pPr>
        <w:widowControl/>
        <w:spacing w:line="360" w:lineRule="auto"/>
        <w:ind w:firstLine="420"/>
        <w:rPr>
          <w:rFonts w:ascii="宋体" w:eastAsia="宋体" w:hAnsi="宋体"/>
          <w:sz w:val="24"/>
          <w:szCs w:val="24"/>
        </w:rPr>
      </w:pPr>
      <w:r w:rsidRPr="007C5E09">
        <w:rPr>
          <w:rFonts w:ascii="宋体" w:eastAsia="宋体" w:hAnsi="宋体"/>
          <w:sz w:val="24"/>
          <w:szCs w:val="24"/>
        </w:rPr>
        <w:t>在本基金《基金合同》“第十二部分 基金的投资”章节中的“五、业绩比较基准”的原表述为：</w:t>
      </w:r>
    </w:p>
    <w:p w:rsidR="008C59CF" w:rsidRPr="008C59CF" w:rsidRDefault="007C5E09" w:rsidP="008C59CF">
      <w:pPr>
        <w:widowControl/>
        <w:spacing w:line="360" w:lineRule="auto"/>
        <w:ind w:firstLine="420"/>
        <w:rPr>
          <w:rFonts w:ascii="宋体" w:eastAsia="宋体" w:hAnsi="宋体"/>
          <w:sz w:val="24"/>
          <w:szCs w:val="24"/>
        </w:rPr>
      </w:pPr>
      <w:r w:rsidRPr="007C5E09">
        <w:rPr>
          <w:rFonts w:ascii="宋体" w:eastAsia="宋体" w:hAnsi="宋体" w:hint="eastAsia"/>
          <w:sz w:val="24"/>
          <w:szCs w:val="24"/>
        </w:rPr>
        <w:t>“</w:t>
      </w:r>
      <w:r w:rsidR="008C59CF" w:rsidRPr="008C59CF">
        <w:rPr>
          <w:rFonts w:ascii="宋体" w:eastAsia="宋体" w:hAnsi="宋体" w:hint="eastAsia"/>
          <w:sz w:val="24"/>
          <w:szCs w:val="24"/>
        </w:rPr>
        <w:t>本基金的业绩比较基准：</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沪深</w:t>
      </w:r>
      <w:r w:rsidRPr="008C59CF">
        <w:rPr>
          <w:rFonts w:ascii="宋体" w:eastAsia="宋体" w:hAnsi="宋体"/>
          <w:sz w:val="24"/>
          <w:szCs w:val="24"/>
        </w:rPr>
        <w:t>300指数收益率×50%+上证国债指数收益率×50%</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沪深</w:t>
      </w:r>
      <w:r w:rsidRPr="008C59CF">
        <w:rPr>
          <w:rFonts w:ascii="宋体" w:eastAsia="宋体" w:hAnsi="宋体"/>
          <w:sz w:val="24"/>
          <w:szCs w:val="24"/>
        </w:rPr>
        <w:t>300指数由中证指数有限公司编制和发布，由沪深A股中规模大、流动性好的最具代表性的300只股票组成，以综合反映沪深A股市场整体表现。</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上证国债指数是以上海证券交易所上市的所有固定利率国债为样本，按照国债发行量加权而成。上证国债指数是上证指数系列的第一只债券指数，它的推出使我国证券市场股票、债券、基金三位一体的指数体系基本形成。</w:t>
      </w:r>
    </w:p>
    <w:p w:rsid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lastRenderedPageBreak/>
        <w:t>根据本基金的投资范围和投资比例约束，基金管理人以沪深</w:t>
      </w:r>
      <w:r w:rsidRPr="008C59CF">
        <w:rPr>
          <w:rFonts w:ascii="宋体" w:eastAsia="宋体" w:hAnsi="宋体"/>
          <w:sz w:val="24"/>
          <w:szCs w:val="24"/>
        </w:rPr>
        <w:t>300指数收益率×50%+上证国债指数收益率×50%作为业绩比较基准，与本基金的投资风格基本一致，可以用来客观公正地衡量本基金的风险收益特征。</w:t>
      </w:r>
    </w:p>
    <w:p w:rsidR="007C5E09" w:rsidRPr="007C5E09" w:rsidRDefault="008C59CF" w:rsidP="008C59CF">
      <w:pPr>
        <w:widowControl/>
        <w:spacing w:line="360" w:lineRule="auto"/>
        <w:ind w:firstLine="420"/>
        <w:rPr>
          <w:rFonts w:ascii="宋体" w:eastAsia="宋体" w:hAnsi="宋体"/>
          <w:sz w:val="24"/>
          <w:szCs w:val="24"/>
        </w:rPr>
      </w:pPr>
      <w:r w:rsidRPr="008C59CF">
        <w:rPr>
          <w:rFonts w:ascii="宋体" w:eastAsia="宋体" w:hAnsi="宋体"/>
          <w:sz w:val="24"/>
          <w:szCs w:val="24"/>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w:t>
      </w:r>
      <w:r w:rsidRPr="008C59CF">
        <w:rPr>
          <w:rFonts w:ascii="宋体" w:eastAsia="宋体" w:hAnsi="宋体" w:hint="eastAsia"/>
          <w:sz w:val="24"/>
          <w:szCs w:val="24"/>
        </w:rPr>
        <w:t>监会备案，基金管理人应在调整前在中国证监会指定的信息披露媒介上刊登公告。</w:t>
      </w:r>
      <w:r w:rsidR="007C5E09" w:rsidRPr="007C5E09">
        <w:rPr>
          <w:rFonts w:ascii="宋体" w:eastAsia="宋体" w:hAnsi="宋体" w:hint="eastAsia"/>
          <w:sz w:val="24"/>
          <w:szCs w:val="24"/>
        </w:rPr>
        <w:t>”</w:t>
      </w:r>
    </w:p>
    <w:p w:rsidR="007C5E09" w:rsidRPr="003555F3" w:rsidRDefault="007C5E09" w:rsidP="007C5E09">
      <w:pPr>
        <w:widowControl/>
        <w:spacing w:line="360" w:lineRule="auto"/>
        <w:ind w:firstLine="420"/>
        <w:rPr>
          <w:rFonts w:ascii="宋体" w:eastAsia="宋体" w:hAnsi="宋体"/>
          <w:b/>
          <w:bCs/>
          <w:sz w:val="24"/>
          <w:szCs w:val="24"/>
        </w:rPr>
      </w:pPr>
      <w:r w:rsidRPr="003555F3">
        <w:rPr>
          <w:rFonts w:ascii="宋体" w:eastAsia="宋体" w:hAnsi="宋体" w:hint="eastAsia"/>
          <w:b/>
          <w:bCs/>
          <w:sz w:val="24"/>
          <w:szCs w:val="24"/>
        </w:rPr>
        <w:t>调整为：</w:t>
      </w:r>
    </w:p>
    <w:p w:rsidR="008C59CF" w:rsidRPr="008C59CF" w:rsidRDefault="007C5E09" w:rsidP="008C59CF">
      <w:pPr>
        <w:widowControl/>
        <w:spacing w:line="360" w:lineRule="auto"/>
        <w:ind w:firstLine="420"/>
        <w:rPr>
          <w:rFonts w:ascii="宋体" w:eastAsia="宋体" w:hAnsi="宋体"/>
          <w:sz w:val="24"/>
          <w:szCs w:val="24"/>
        </w:rPr>
      </w:pPr>
      <w:r w:rsidRPr="007C5E09">
        <w:rPr>
          <w:rFonts w:ascii="宋体" w:eastAsia="宋体" w:hAnsi="宋体" w:hint="eastAsia"/>
          <w:sz w:val="24"/>
          <w:szCs w:val="24"/>
        </w:rPr>
        <w:t>“</w:t>
      </w:r>
      <w:r w:rsidR="008C59CF" w:rsidRPr="008C59CF">
        <w:rPr>
          <w:rFonts w:ascii="宋体" w:eastAsia="宋体" w:hAnsi="宋体" w:hint="eastAsia"/>
          <w:sz w:val="24"/>
          <w:szCs w:val="24"/>
        </w:rPr>
        <w:t>本基金的业绩比较基准：</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中证中信证券量化债股优选稳健策略指数收益率</w:t>
      </w:r>
      <w:r w:rsidRPr="008C59CF">
        <w:rPr>
          <w:rFonts w:ascii="宋体" w:eastAsia="宋体" w:hAnsi="宋体"/>
          <w:sz w:val="24"/>
          <w:szCs w:val="24"/>
        </w:rPr>
        <w:t>*95%+银行活期存款利率(税后)*5%</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中证中信证券量化债股优选稳健策略指数由中证指数有限公司编制及发布，采用风险平价模型和方法，结合动态战术调整策略，对债券和股票资产进行权重分配，从而实现在严格控制组合风险的基础上，改善组合的风险调整后收益。</w:t>
      </w:r>
    </w:p>
    <w:p w:rsidR="008C59CF" w:rsidRPr="008C59CF"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本基金的投资策略与中证中信证券量化债股优选稳健策略指数的核心逻辑相符，因此选用该指数作为业绩比较基准能够客观、合理地反映本基金的风险收益特征。此外，本基金投资于现金或者到期日在一年以内的政府债券不低于基金资产净值的</w:t>
      </w:r>
      <w:r w:rsidRPr="008C59CF">
        <w:rPr>
          <w:rFonts w:ascii="宋体" w:eastAsia="宋体" w:hAnsi="宋体"/>
          <w:sz w:val="24"/>
          <w:szCs w:val="24"/>
        </w:rPr>
        <w:t>5%，因此将业绩比较基准定为“中证中信证券量化债股优选稳健策略指数收益率×95%＋银行活期存款利率（税后）×5%”符合本基金的产品特点。</w:t>
      </w:r>
    </w:p>
    <w:p w:rsidR="007C5E09" w:rsidRPr="007C5E09" w:rsidRDefault="008C59CF" w:rsidP="008C59CF">
      <w:pPr>
        <w:widowControl/>
        <w:spacing w:line="360" w:lineRule="auto"/>
        <w:ind w:firstLine="420"/>
        <w:rPr>
          <w:rFonts w:ascii="宋体" w:eastAsia="宋体" w:hAnsi="宋体"/>
          <w:sz w:val="24"/>
          <w:szCs w:val="24"/>
        </w:rPr>
      </w:pPr>
      <w:r w:rsidRPr="008C59CF">
        <w:rPr>
          <w:rFonts w:ascii="宋体" w:eastAsia="宋体" w:hAnsi="宋体" w:hint="eastAsia"/>
          <w:sz w:val="24"/>
          <w:szCs w:val="24"/>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指定的信息披露媒介上刊登公告。</w:t>
      </w:r>
      <w:r w:rsidR="007C5E09" w:rsidRPr="007C5E09">
        <w:rPr>
          <w:rFonts w:ascii="宋体" w:eastAsia="宋体" w:hAnsi="宋体" w:hint="eastAsia"/>
          <w:sz w:val="24"/>
          <w:szCs w:val="24"/>
        </w:rPr>
        <w:t>”</w:t>
      </w:r>
    </w:p>
    <w:p w:rsidR="00B44DCC" w:rsidRPr="00B44DCC" w:rsidRDefault="00566679" w:rsidP="00B44DCC">
      <w:pPr>
        <w:widowControl/>
        <w:spacing w:line="360" w:lineRule="auto"/>
        <w:ind w:firstLine="420"/>
        <w:rPr>
          <w:rFonts w:ascii="宋体" w:eastAsia="宋体" w:hAnsi="宋体"/>
          <w:sz w:val="24"/>
          <w:szCs w:val="24"/>
        </w:rPr>
      </w:pPr>
      <w:r>
        <w:rPr>
          <w:rFonts w:ascii="宋体" w:eastAsia="宋体" w:hAnsi="宋体" w:hint="eastAsia"/>
          <w:sz w:val="24"/>
          <w:szCs w:val="24"/>
        </w:rPr>
        <w:t>根据上述变更，基金管理人将相应修改本基金招募说明书</w:t>
      </w:r>
      <w:r w:rsidR="008C59CF">
        <w:rPr>
          <w:rFonts w:ascii="宋体" w:eastAsia="宋体" w:hAnsi="宋体" w:hint="eastAsia"/>
          <w:sz w:val="24"/>
          <w:szCs w:val="24"/>
        </w:rPr>
        <w:t>、</w:t>
      </w:r>
      <w:r>
        <w:rPr>
          <w:rFonts w:ascii="宋体" w:eastAsia="宋体" w:hAnsi="宋体" w:hint="eastAsia"/>
          <w:sz w:val="24"/>
          <w:szCs w:val="24"/>
        </w:rPr>
        <w:t>基金产品资料概要</w:t>
      </w:r>
      <w:r w:rsidR="00EC03A3" w:rsidRPr="00EC03A3">
        <w:rPr>
          <w:rFonts w:ascii="宋体" w:eastAsia="宋体" w:hAnsi="宋体" w:hint="eastAsia"/>
          <w:sz w:val="24"/>
          <w:szCs w:val="24"/>
        </w:rPr>
        <w:t>等法律文件</w:t>
      </w:r>
      <w:r w:rsidR="00B44DCC" w:rsidRPr="00B44DCC">
        <w:rPr>
          <w:rFonts w:ascii="宋体" w:eastAsia="宋体" w:hAnsi="宋体" w:hint="eastAsia"/>
          <w:sz w:val="24"/>
          <w:szCs w:val="24"/>
        </w:rPr>
        <w:t>，并及时披露。</w:t>
      </w:r>
    </w:p>
    <w:p w:rsidR="002960E3" w:rsidRPr="00C33BCD" w:rsidRDefault="00625016" w:rsidP="003A0EBB">
      <w:pPr>
        <w:widowControl/>
        <w:spacing w:before="240" w:line="360" w:lineRule="auto"/>
        <w:ind w:firstLine="420"/>
        <w:rPr>
          <w:rFonts w:ascii="宋体" w:eastAsia="宋体" w:hAnsi="宋体"/>
          <w:sz w:val="24"/>
          <w:szCs w:val="24"/>
        </w:rPr>
      </w:pPr>
      <w:r>
        <w:rPr>
          <w:rFonts w:ascii="宋体" w:eastAsia="宋体" w:hAnsi="宋体" w:hint="eastAsia"/>
          <w:sz w:val="24"/>
          <w:szCs w:val="24"/>
        </w:rPr>
        <w:lastRenderedPageBreak/>
        <w:t>三</w:t>
      </w:r>
      <w:r w:rsidR="002960E3" w:rsidRPr="00C33BCD">
        <w:rPr>
          <w:rFonts w:ascii="宋体" w:eastAsia="宋体" w:hAnsi="宋体" w:hint="eastAsia"/>
          <w:sz w:val="24"/>
          <w:szCs w:val="24"/>
        </w:rPr>
        <w:t>、重要提示</w:t>
      </w:r>
    </w:p>
    <w:p w:rsidR="00FA17D9" w:rsidRDefault="00D7178C" w:rsidP="00FA17D9">
      <w:pPr>
        <w:widowControl/>
        <w:spacing w:line="360" w:lineRule="auto"/>
        <w:ind w:firstLine="420"/>
        <w:rPr>
          <w:rFonts w:ascii="宋体" w:eastAsia="宋体" w:hAnsi="宋体"/>
          <w:sz w:val="24"/>
          <w:szCs w:val="24"/>
        </w:rPr>
      </w:pPr>
      <w:r w:rsidRPr="00C33BCD">
        <w:rPr>
          <w:rFonts w:ascii="宋体" w:eastAsia="宋体" w:hAnsi="宋体" w:hint="eastAsia"/>
          <w:sz w:val="24"/>
          <w:szCs w:val="24"/>
        </w:rPr>
        <w:t>1、</w:t>
      </w:r>
      <w:r w:rsidR="00625016" w:rsidRPr="00625016">
        <w:rPr>
          <w:rFonts w:ascii="宋体" w:eastAsia="宋体" w:hAnsi="宋体" w:hint="eastAsia"/>
          <w:sz w:val="24"/>
          <w:szCs w:val="24"/>
        </w:rPr>
        <w:t>本基金《基金合同》的修改对基金份额持有人利益无实质性不利影响，系《基金合同》约定的不需要召开基金份额持有人大会的事项。本次修改已经履行了规定的程序，符合相关法律法规及《基金合同》的规定。</w:t>
      </w:r>
    </w:p>
    <w:p w:rsidR="007E6092" w:rsidRPr="00C33BCD" w:rsidRDefault="007E6092" w:rsidP="00FA17D9">
      <w:pPr>
        <w:widowControl/>
        <w:spacing w:line="360" w:lineRule="auto"/>
        <w:ind w:firstLine="420"/>
        <w:rPr>
          <w:rFonts w:ascii="宋体" w:eastAsia="宋体" w:hAnsi="宋体"/>
          <w:sz w:val="24"/>
          <w:szCs w:val="24"/>
        </w:rPr>
      </w:pPr>
      <w:r>
        <w:rPr>
          <w:rFonts w:ascii="宋体" w:eastAsia="宋体" w:hAnsi="宋体" w:hint="eastAsia"/>
          <w:sz w:val="24"/>
          <w:szCs w:val="24"/>
        </w:rPr>
        <w:t>2、</w:t>
      </w:r>
      <w:r w:rsidRPr="007E6092">
        <w:rPr>
          <w:rFonts w:ascii="宋体" w:eastAsia="宋体" w:hAnsi="宋体" w:hint="eastAsia"/>
          <w:sz w:val="24"/>
          <w:szCs w:val="24"/>
        </w:rPr>
        <w:t>本次修订后的《基金合同》自</w:t>
      </w:r>
      <w:r w:rsidR="00625016" w:rsidRPr="007E6092">
        <w:rPr>
          <w:rFonts w:ascii="宋体" w:eastAsia="宋体" w:hAnsi="宋体"/>
          <w:sz w:val="24"/>
          <w:szCs w:val="24"/>
        </w:rPr>
        <w:t>202</w:t>
      </w:r>
      <w:r w:rsidR="00625016">
        <w:rPr>
          <w:rFonts w:ascii="宋体" w:eastAsia="宋体" w:hAnsi="宋体"/>
          <w:sz w:val="24"/>
          <w:szCs w:val="24"/>
        </w:rPr>
        <w:t>4</w:t>
      </w:r>
      <w:r w:rsidR="007C5E09" w:rsidRPr="007E6092">
        <w:rPr>
          <w:rFonts w:ascii="宋体" w:eastAsia="宋体" w:hAnsi="宋体"/>
          <w:sz w:val="24"/>
          <w:szCs w:val="24"/>
        </w:rPr>
        <w:t>年</w:t>
      </w:r>
      <w:r w:rsidR="00D07EAD">
        <w:rPr>
          <w:rFonts w:ascii="宋体" w:eastAsia="宋体" w:hAnsi="宋体" w:hint="eastAsia"/>
          <w:sz w:val="24"/>
          <w:szCs w:val="24"/>
        </w:rPr>
        <w:t>3</w:t>
      </w:r>
      <w:r w:rsidRPr="007E6092">
        <w:rPr>
          <w:rFonts w:ascii="宋体" w:eastAsia="宋体" w:hAnsi="宋体"/>
          <w:sz w:val="24"/>
          <w:szCs w:val="24"/>
        </w:rPr>
        <w:t>月</w:t>
      </w:r>
      <w:r w:rsidR="00D07EAD">
        <w:rPr>
          <w:rFonts w:ascii="宋体" w:eastAsia="宋体" w:hAnsi="宋体" w:hint="eastAsia"/>
          <w:sz w:val="24"/>
          <w:szCs w:val="24"/>
        </w:rPr>
        <w:t>15</w:t>
      </w:r>
      <w:r w:rsidRPr="007E6092">
        <w:rPr>
          <w:rFonts w:ascii="宋体" w:eastAsia="宋体" w:hAnsi="宋体"/>
          <w:sz w:val="24"/>
          <w:szCs w:val="24"/>
        </w:rPr>
        <w:t>日</w:t>
      </w:r>
      <w:r w:rsidRPr="007E6092">
        <w:rPr>
          <w:rFonts w:ascii="宋体" w:eastAsia="宋体" w:hAnsi="宋体" w:hint="eastAsia"/>
          <w:sz w:val="24"/>
          <w:szCs w:val="24"/>
        </w:rPr>
        <w:t>起生效。</w:t>
      </w:r>
    </w:p>
    <w:p w:rsidR="002960E3" w:rsidRPr="00C33BCD" w:rsidRDefault="000359D7" w:rsidP="006577B6">
      <w:pPr>
        <w:widowControl/>
        <w:spacing w:line="360" w:lineRule="auto"/>
        <w:ind w:firstLine="420"/>
        <w:rPr>
          <w:rFonts w:ascii="宋体" w:eastAsia="宋体" w:hAnsi="宋体"/>
          <w:sz w:val="24"/>
          <w:szCs w:val="24"/>
        </w:rPr>
      </w:pPr>
      <w:r>
        <w:rPr>
          <w:rFonts w:ascii="宋体" w:eastAsia="宋体" w:hAnsi="宋体"/>
          <w:sz w:val="24"/>
          <w:szCs w:val="24"/>
        </w:rPr>
        <w:t>3</w:t>
      </w:r>
      <w:r w:rsidR="000775A2" w:rsidRPr="00C33BCD">
        <w:rPr>
          <w:rFonts w:ascii="宋体" w:eastAsia="宋体" w:hAnsi="宋体"/>
          <w:sz w:val="24"/>
          <w:szCs w:val="24"/>
        </w:rPr>
        <w:t>、</w:t>
      </w:r>
      <w:r w:rsidR="002960E3" w:rsidRPr="00C33BCD">
        <w:rPr>
          <w:rFonts w:ascii="宋体" w:eastAsia="宋体" w:hAnsi="宋体"/>
          <w:sz w:val="24"/>
          <w:szCs w:val="24"/>
        </w:rPr>
        <w:t>投资者可以</w:t>
      </w:r>
      <w:r w:rsidR="002960E3" w:rsidRPr="00C33BCD">
        <w:rPr>
          <w:rFonts w:ascii="宋体" w:eastAsia="宋体" w:hAnsi="宋体" w:hint="eastAsia"/>
          <w:sz w:val="24"/>
          <w:szCs w:val="24"/>
        </w:rPr>
        <w:t>通过以下途径咨询有关详情：</w:t>
      </w:r>
    </w:p>
    <w:p w:rsidR="004810DF" w:rsidRPr="00C33BCD" w:rsidRDefault="002960E3" w:rsidP="004810DF">
      <w:pPr>
        <w:widowControl/>
        <w:spacing w:line="360" w:lineRule="auto"/>
        <w:ind w:firstLine="420"/>
        <w:rPr>
          <w:rFonts w:ascii="宋体" w:eastAsia="宋体" w:hAnsi="宋体"/>
          <w:sz w:val="24"/>
          <w:szCs w:val="24"/>
        </w:rPr>
      </w:pPr>
      <w:r w:rsidRPr="00C33BCD">
        <w:rPr>
          <w:rFonts w:ascii="宋体" w:eastAsia="宋体" w:hAnsi="宋体"/>
          <w:sz w:val="24"/>
          <w:szCs w:val="24"/>
        </w:rPr>
        <w:t>1）</w:t>
      </w:r>
      <w:r w:rsidR="004810DF" w:rsidRPr="00C33BCD">
        <w:rPr>
          <w:rFonts w:ascii="宋体" w:eastAsia="宋体" w:hAnsi="宋体"/>
          <w:sz w:val="24"/>
          <w:szCs w:val="24"/>
        </w:rPr>
        <w:t>汇安基金管理有限责任公司客户服务电话</w:t>
      </w:r>
      <w:r w:rsidR="009032E5">
        <w:rPr>
          <w:rFonts w:ascii="宋体" w:eastAsia="宋体" w:hAnsi="宋体" w:hint="eastAsia"/>
          <w:sz w:val="24"/>
          <w:szCs w:val="24"/>
        </w:rPr>
        <w:t>：</w:t>
      </w:r>
      <w:r w:rsidR="004810DF" w:rsidRPr="00C33BCD">
        <w:rPr>
          <w:rFonts w:ascii="宋体" w:eastAsia="宋体" w:hAnsi="宋体"/>
          <w:sz w:val="24"/>
          <w:szCs w:val="24"/>
        </w:rPr>
        <w:t>010-56711690</w:t>
      </w:r>
    </w:p>
    <w:p w:rsidR="004810DF" w:rsidRPr="00C33BCD" w:rsidRDefault="004810DF" w:rsidP="004810DF">
      <w:pPr>
        <w:widowControl/>
        <w:spacing w:line="360" w:lineRule="auto"/>
        <w:ind w:firstLine="420"/>
        <w:rPr>
          <w:rFonts w:ascii="宋体" w:eastAsia="宋体" w:hAnsi="宋体"/>
          <w:sz w:val="24"/>
          <w:szCs w:val="24"/>
        </w:rPr>
      </w:pPr>
      <w:r w:rsidRPr="00C33BCD">
        <w:rPr>
          <w:rFonts w:ascii="宋体" w:eastAsia="宋体" w:hAnsi="宋体"/>
          <w:sz w:val="24"/>
          <w:szCs w:val="24"/>
        </w:rPr>
        <w:t>2</w:t>
      </w:r>
      <w:r w:rsidRPr="00C33BCD">
        <w:rPr>
          <w:rFonts w:ascii="宋体" w:eastAsia="宋体" w:hAnsi="宋体" w:hint="eastAsia"/>
          <w:sz w:val="24"/>
          <w:szCs w:val="24"/>
        </w:rPr>
        <w:t>）</w:t>
      </w:r>
      <w:r w:rsidRPr="00C33BCD">
        <w:rPr>
          <w:rFonts w:ascii="宋体" w:eastAsia="宋体" w:hAnsi="宋体"/>
          <w:sz w:val="24"/>
          <w:szCs w:val="24"/>
        </w:rPr>
        <w:t>汇安基金管理有限责任公司网站</w:t>
      </w:r>
      <w:r w:rsidR="009032E5">
        <w:rPr>
          <w:rFonts w:ascii="宋体" w:eastAsia="宋体" w:hAnsi="宋体" w:hint="eastAsia"/>
          <w:sz w:val="24"/>
          <w:szCs w:val="24"/>
        </w:rPr>
        <w:t>：</w:t>
      </w:r>
      <w:r w:rsidRPr="00C33BCD">
        <w:rPr>
          <w:rFonts w:ascii="宋体" w:eastAsia="宋体" w:hAnsi="宋体"/>
          <w:sz w:val="24"/>
          <w:szCs w:val="24"/>
        </w:rPr>
        <w:t>www.huianfund.cn</w:t>
      </w:r>
    </w:p>
    <w:p w:rsidR="002960E3" w:rsidRPr="00C33BCD" w:rsidRDefault="00625016" w:rsidP="003A0EBB">
      <w:pPr>
        <w:widowControl/>
        <w:spacing w:before="240" w:line="360" w:lineRule="auto"/>
        <w:ind w:firstLine="420"/>
        <w:rPr>
          <w:rFonts w:ascii="宋体" w:eastAsia="宋体" w:hAnsi="宋体"/>
          <w:sz w:val="24"/>
          <w:szCs w:val="24"/>
        </w:rPr>
      </w:pPr>
      <w:r>
        <w:rPr>
          <w:rFonts w:ascii="宋体" w:eastAsia="宋体" w:hAnsi="宋体" w:hint="eastAsia"/>
          <w:sz w:val="24"/>
          <w:szCs w:val="24"/>
        </w:rPr>
        <w:t>四</w:t>
      </w:r>
      <w:r w:rsidR="002960E3" w:rsidRPr="00C33BCD">
        <w:rPr>
          <w:rFonts w:ascii="宋体" w:eastAsia="宋体" w:hAnsi="宋体" w:hint="eastAsia"/>
          <w:sz w:val="24"/>
          <w:szCs w:val="24"/>
        </w:rPr>
        <w:t>、风险提示</w:t>
      </w:r>
    </w:p>
    <w:p w:rsidR="006B0472" w:rsidRPr="00C33BCD" w:rsidRDefault="002960E3" w:rsidP="00D9746C">
      <w:pPr>
        <w:widowControl/>
        <w:spacing w:line="360" w:lineRule="auto"/>
        <w:ind w:firstLine="420"/>
        <w:rPr>
          <w:rFonts w:ascii="宋体" w:eastAsia="宋体" w:hAnsi="宋体"/>
          <w:sz w:val="24"/>
          <w:szCs w:val="24"/>
        </w:rPr>
      </w:pPr>
      <w:r w:rsidRPr="00C33BCD">
        <w:rPr>
          <w:rFonts w:ascii="宋体" w:eastAsia="宋体" w:hAnsi="宋体" w:hint="eastAsia"/>
          <w:sz w:val="24"/>
          <w:szCs w:val="24"/>
        </w:rPr>
        <w:t>本</w:t>
      </w:r>
      <w:r w:rsidR="007D3654" w:rsidRPr="00C33BCD">
        <w:rPr>
          <w:rFonts w:ascii="宋体" w:eastAsia="宋体" w:hAnsi="宋体" w:hint="eastAsia"/>
          <w:sz w:val="24"/>
          <w:szCs w:val="24"/>
        </w:rPr>
        <w:t>基金管理人</w:t>
      </w:r>
      <w:r w:rsidRPr="00C33BCD">
        <w:rPr>
          <w:rFonts w:ascii="宋体" w:eastAsia="宋体" w:hAnsi="宋体" w:hint="eastAsia"/>
          <w:sz w:val="24"/>
          <w:szCs w:val="24"/>
        </w:rPr>
        <w:t>承诺以诚实信用、勤勉尽责的原则管理和运用基金资产，但不保证基金一定盈利，也不保证最低收益。</w:t>
      </w:r>
      <w:r w:rsidR="006B0472" w:rsidRPr="00C33BCD">
        <w:rPr>
          <w:rFonts w:ascii="宋体" w:eastAsia="宋体" w:hAnsi="宋体" w:hint="eastAsia"/>
          <w:sz w:val="24"/>
          <w:szCs w:val="24"/>
        </w:rPr>
        <w:t>投资人投资基金时应认真阅读</w:t>
      </w:r>
      <w:r w:rsidR="00371805" w:rsidRPr="00C33BCD">
        <w:rPr>
          <w:rFonts w:ascii="宋体" w:eastAsia="宋体" w:hAnsi="宋体" w:hint="eastAsia"/>
          <w:sz w:val="24"/>
          <w:szCs w:val="24"/>
        </w:rPr>
        <w:t>相关</w:t>
      </w:r>
      <w:r w:rsidR="006B0472" w:rsidRPr="00C33BCD">
        <w:rPr>
          <w:rFonts w:ascii="宋体" w:eastAsia="宋体" w:hAnsi="宋体" w:hint="eastAsia"/>
          <w:sz w:val="24"/>
          <w:szCs w:val="24"/>
        </w:rPr>
        <w:t>基金的基金合同、招募说明书</w:t>
      </w:r>
      <w:r w:rsidR="00D7178C" w:rsidRPr="00C33BCD">
        <w:rPr>
          <w:rFonts w:ascii="宋体" w:eastAsia="宋体" w:hAnsi="宋体" w:hint="eastAsia"/>
          <w:sz w:val="24"/>
          <w:szCs w:val="24"/>
        </w:rPr>
        <w:t>、产品资料概要</w:t>
      </w:r>
      <w:r w:rsidR="006B0472" w:rsidRPr="00C33BCD">
        <w:rPr>
          <w:rFonts w:ascii="宋体" w:eastAsia="宋体" w:hAnsi="宋体" w:hint="eastAsia"/>
          <w:sz w:val="24"/>
          <w:szCs w:val="24"/>
        </w:rPr>
        <w:t>等文件。投资有风险，敬请投资人选择适合自身风险承受能力的投资品种进行投资。</w:t>
      </w:r>
    </w:p>
    <w:p w:rsidR="007E6092" w:rsidRDefault="007E6092" w:rsidP="004810DF">
      <w:pPr>
        <w:widowControl/>
        <w:spacing w:line="360" w:lineRule="auto"/>
        <w:ind w:firstLine="420"/>
        <w:rPr>
          <w:rFonts w:ascii="宋体" w:eastAsia="宋体" w:hAnsi="宋体"/>
          <w:sz w:val="24"/>
          <w:szCs w:val="24"/>
        </w:rPr>
      </w:pPr>
    </w:p>
    <w:p w:rsidR="002960E3" w:rsidRPr="00C33BCD" w:rsidRDefault="002960E3" w:rsidP="004810DF">
      <w:pPr>
        <w:widowControl/>
        <w:spacing w:line="360" w:lineRule="auto"/>
        <w:ind w:firstLine="420"/>
        <w:rPr>
          <w:rFonts w:ascii="宋体" w:eastAsia="宋体" w:hAnsi="宋体"/>
          <w:sz w:val="24"/>
          <w:szCs w:val="24"/>
        </w:rPr>
      </w:pPr>
      <w:r w:rsidRPr="00C33BCD">
        <w:rPr>
          <w:rFonts w:ascii="宋体" w:eastAsia="宋体" w:hAnsi="宋体" w:hint="eastAsia"/>
          <w:sz w:val="24"/>
          <w:szCs w:val="24"/>
        </w:rPr>
        <w:t>特此公告。</w:t>
      </w:r>
    </w:p>
    <w:p w:rsidR="00210CC3" w:rsidRDefault="00210CC3" w:rsidP="00210CC3">
      <w:pPr>
        <w:widowControl/>
        <w:spacing w:line="360" w:lineRule="auto"/>
        <w:rPr>
          <w:rFonts w:ascii="宋体" w:eastAsia="宋体" w:hAnsi="宋体" w:cs="宋体"/>
          <w:kern w:val="0"/>
          <w:sz w:val="24"/>
          <w:szCs w:val="24"/>
        </w:rPr>
      </w:pPr>
    </w:p>
    <w:p w:rsidR="007E6092" w:rsidRPr="00C33BCD" w:rsidRDefault="007E6092" w:rsidP="00210CC3">
      <w:pPr>
        <w:widowControl/>
        <w:spacing w:line="360" w:lineRule="auto"/>
        <w:rPr>
          <w:rFonts w:ascii="宋体" w:eastAsia="宋体" w:hAnsi="宋体" w:cs="宋体"/>
          <w:kern w:val="0"/>
          <w:sz w:val="24"/>
          <w:szCs w:val="24"/>
        </w:rPr>
      </w:pPr>
    </w:p>
    <w:p w:rsidR="00210CC3" w:rsidRPr="00C33BCD" w:rsidRDefault="00210CC3" w:rsidP="00210CC3">
      <w:pPr>
        <w:widowControl/>
        <w:spacing w:line="360" w:lineRule="auto"/>
        <w:ind w:firstLine="420"/>
        <w:jc w:val="right"/>
        <w:rPr>
          <w:rFonts w:ascii="宋体" w:eastAsia="宋体" w:hAnsi="宋体" w:cs="宋体"/>
          <w:kern w:val="0"/>
          <w:sz w:val="24"/>
          <w:szCs w:val="24"/>
        </w:rPr>
      </w:pPr>
      <w:r w:rsidRPr="00C33BCD">
        <w:rPr>
          <w:rFonts w:ascii="宋体" w:eastAsia="宋体" w:hAnsi="宋体" w:cs="宋体" w:hint="eastAsia"/>
          <w:kern w:val="0"/>
          <w:sz w:val="24"/>
          <w:szCs w:val="24"/>
        </w:rPr>
        <w:t>汇安基金管理有限责任公司</w:t>
      </w:r>
    </w:p>
    <w:p w:rsidR="00210CC3" w:rsidRPr="00C33BCD" w:rsidRDefault="00625016" w:rsidP="00210CC3">
      <w:pPr>
        <w:widowControl/>
        <w:spacing w:line="360" w:lineRule="auto"/>
        <w:jc w:val="right"/>
        <w:rPr>
          <w:rFonts w:ascii="宋体" w:eastAsia="宋体" w:hAnsi="宋体" w:cs="宋体"/>
          <w:kern w:val="0"/>
          <w:sz w:val="24"/>
          <w:szCs w:val="24"/>
        </w:rPr>
      </w:pPr>
      <w:r w:rsidRPr="00C33BCD">
        <w:rPr>
          <w:rFonts w:ascii="宋体" w:eastAsia="宋体" w:hAnsi="宋体" w:cs="宋体"/>
          <w:kern w:val="0"/>
          <w:sz w:val="24"/>
          <w:szCs w:val="24"/>
        </w:rPr>
        <w:t>202</w:t>
      </w:r>
      <w:r>
        <w:rPr>
          <w:rFonts w:ascii="宋体" w:eastAsia="宋体" w:hAnsi="宋体" w:cs="宋体"/>
          <w:kern w:val="0"/>
          <w:sz w:val="24"/>
          <w:szCs w:val="24"/>
        </w:rPr>
        <w:t>4</w:t>
      </w:r>
      <w:r w:rsidR="007C5E09" w:rsidRPr="00C33BCD">
        <w:rPr>
          <w:rFonts w:ascii="宋体" w:eastAsia="宋体" w:hAnsi="宋体" w:cs="宋体" w:hint="eastAsia"/>
          <w:kern w:val="0"/>
          <w:sz w:val="24"/>
          <w:szCs w:val="24"/>
        </w:rPr>
        <w:t>年</w:t>
      </w:r>
      <w:r w:rsidR="00DE3BBB">
        <w:rPr>
          <w:rFonts w:ascii="宋体" w:eastAsia="宋体" w:hAnsi="宋体" w:cs="宋体" w:hint="eastAsia"/>
          <w:kern w:val="0"/>
          <w:sz w:val="24"/>
          <w:szCs w:val="24"/>
        </w:rPr>
        <w:t>3</w:t>
      </w:r>
      <w:r w:rsidR="00D80EC8" w:rsidRPr="00C33BCD">
        <w:rPr>
          <w:rFonts w:ascii="宋体" w:eastAsia="宋体" w:hAnsi="宋体" w:cs="宋体" w:hint="eastAsia"/>
          <w:kern w:val="0"/>
          <w:sz w:val="24"/>
          <w:szCs w:val="24"/>
        </w:rPr>
        <w:t>月</w:t>
      </w:r>
      <w:r w:rsidR="00D07EAD">
        <w:rPr>
          <w:rFonts w:ascii="宋体" w:eastAsia="宋体" w:hAnsi="宋体" w:cs="宋体" w:hint="eastAsia"/>
          <w:kern w:val="0"/>
          <w:sz w:val="24"/>
          <w:szCs w:val="24"/>
        </w:rPr>
        <w:t>15</w:t>
      </w:r>
      <w:r w:rsidR="00210CC3" w:rsidRPr="00C33BCD">
        <w:rPr>
          <w:rFonts w:ascii="宋体" w:eastAsia="宋体" w:hAnsi="宋体" w:cs="宋体" w:hint="eastAsia"/>
          <w:kern w:val="0"/>
          <w:sz w:val="24"/>
          <w:szCs w:val="24"/>
        </w:rPr>
        <w:t>日</w:t>
      </w:r>
    </w:p>
    <w:p w:rsidR="00210CC3" w:rsidRPr="00C33BCD" w:rsidRDefault="00210CC3" w:rsidP="00210CC3">
      <w:pPr>
        <w:widowControl/>
        <w:spacing w:line="360" w:lineRule="auto"/>
        <w:jc w:val="right"/>
        <w:rPr>
          <w:rFonts w:ascii="宋体" w:eastAsia="宋体" w:hAnsi="宋体" w:cs="宋体"/>
          <w:b/>
          <w:kern w:val="0"/>
          <w:sz w:val="24"/>
          <w:szCs w:val="24"/>
        </w:rPr>
      </w:pPr>
    </w:p>
    <w:p w:rsidR="00331B74" w:rsidRPr="00331B74" w:rsidRDefault="00331B74" w:rsidP="009D4D00">
      <w:pPr>
        <w:spacing w:before="240" w:after="240"/>
      </w:pPr>
    </w:p>
    <w:sectPr w:rsidR="00331B74" w:rsidRPr="00331B74" w:rsidSect="004D6505">
      <w:headerReference w:type="default" r:id="rId7"/>
      <w:footerReference w:type="default" r:id="rId8"/>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05" w:rsidRDefault="004D6505" w:rsidP="000775A2">
      <w:r>
        <w:separator/>
      </w:r>
    </w:p>
  </w:endnote>
  <w:endnote w:type="continuationSeparator" w:id="0">
    <w:p w:rsidR="004D6505" w:rsidRDefault="004D6505" w:rsidP="00077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F26541" w:rsidRDefault="00F34D41">
        <w:pPr>
          <w:pStyle w:val="a4"/>
          <w:jc w:val="center"/>
        </w:pPr>
        <w:r>
          <w:fldChar w:fldCharType="begin"/>
        </w:r>
        <w:r w:rsidR="00C73656">
          <w:instrText>PAGE   \* MERGEFORMAT</w:instrText>
        </w:r>
        <w:r>
          <w:fldChar w:fldCharType="separate"/>
        </w:r>
        <w:r w:rsidR="006C7AAC" w:rsidRPr="006C7AAC">
          <w:rPr>
            <w:noProof/>
            <w:lang w:val="zh-CN"/>
          </w:rPr>
          <w:t>2</w:t>
        </w:r>
        <w:r>
          <w:fldChar w:fldCharType="end"/>
        </w:r>
      </w:p>
    </w:sdtContent>
  </w:sdt>
  <w:p w:rsidR="00F26541" w:rsidRDefault="00F265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05" w:rsidRDefault="004D6505" w:rsidP="000775A2">
      <w:r>
        <w:separator/>
      </w:r>
    </w:p>
  </w:footnote>
  <w:footnote w:type="continuationSeparator" w:id="0">
    <w:p w:rsidR="004D6505" w:rsidRDefault="004D6505" w:rsidP="0007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1" w:rsidRPr="004B12B5" w:rsidRDefault="00F26541" w:rsidP="004B12B5">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1" w:rsidRPr="00C160B2" w:rsidRDefault="00F26541" w:rsidP="00C160B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5"/>
    <w:multiLevelType w:val="hybridMultilevel"/>
    <w:tmpl w:val="0AFCE4BC"/>
    <w:lvl w:ilvl="0" w:tplc="014617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5DE"/>
    <w:rsid w:val="00001249"/>
    <w:rsid w:val="000024F1"/>
    <w:rsid w:val="00012C75"/>
    <w:rsid w:val="000164D6"/>
    <w:rsid w:val="00017AC6"/>
    <w:rsid w:val="00033E13"/>
    <w:rsid w:val="000359D7"/>
    <w:rsid w:val="00050BE6"/>
    <w:rsid w:val="00061362"/>
    <w:rsid w:val="00067274"/>
    <w:rsid w:val="0007250D"/>
    <w:rsid w:val="000775A2"/>
    <w:rsid w:val="000A293B"/>
    <w:rsid w:val="000C6A93"/>
    <w:rsid w:val="000F76C2"/>
    <w:rsid w:val="00136B4B"/>
    <w:rsid w:val="00136E4E"/>
    <w:rsid w:val="00152B1A"/>
    <w:rsid w:val="00157C37"/>
    <w:rsid w:val="00172880"/>
    <w:rsid w:val="001847E9"/>
    <w:rsid w:val="001A2D6A"/>
    <w:rsid w:val="001B4B2A"/>
    <w:rsid w:val="001B7914"/>
    <w:rsid w:val="001C325F"/>
    <w:rsid w:val="001E39EF"/>
    <w:rsid w:val="00210CC3"/>
    <w:rsid w:val="00266046"/>
    <w:rsid w:val="00273E9E"/>
    <w:rsid w:val="002845AE"/>
    <w:rsid w:val="00291167"/>
    <w:rsid w:val="002960E3"/>
    <w:rsid w:val="002D387A"/>
    <w:rsid w:val="002E184D"/>
    <w:rsid w:val="002E2E2E"/>
    <w:rsid w:val="002F4C47"/>
    <w:rsid w:val="003017A8"/>
    <w:rsid w:val="003112C7"/>
    <w:rsid w:val="00322435"/>
    <w:rsid w:val="00331B74"/>
    <w:rsid w:val="0034095C"/>
    <w:rsid w:val="00341FC0"/>
    <w:rsid w:val="003506DC"/>
    <w:rsid w:val="003555F3"/>
    <w:rsid w:val="003612D7"/>
    <w:rsid w:val="00361BB0"/>
    <w:rsid w:val="00362485"/>
    <w:rsid w:val="00364915"/>
    <w:rsid w:val="00371805"/>
    <w:rsid w:val="003719D3"/>
    <w:rsid w:val="00385092"/>
    <w:rsid w:val="003A0EBB"/>
    <w:rsid w:val="003A42C5"/>
    <w:rsid w:val="003A5521"/>
    <w:rsid w:val="003C5C09"/>
    <w:rsid w:val="003E4ABB"/>
    <w:rsid w:val="003F3507"/>
    <w:rsid w:val="00402795"/>
    <w:rsid w:val="00421522"/>
    <w:rsid w:val="004240A8"/>
    <w:rsid w:val="00430014"/>
    <w:rsid w:val="004342C6"/>
    <w:rsid w:val="00442F06"/>
    <w:rsid w:val="00466B1C"/>
    <w:rsid w:val="00471E62"/>
    <w:rsid w:val="004810DF"/>
    <w:rsid w:val="004862BE"/>
    <w:rsid w:val="004914F4"/>
    <w:rsid w:val="00495EF8"/>
    <w:rsid w:val="004B017A"/>
    <w:rsid w:val="004D6505"/>
    <w:rsid w:val="004E29D1"/>
    <w:rsid w:val="004F01EF"/>
    <w:rsid w:val="00502C33"/>
    <w:rsid w:val="00514EA6"/>
    <w:rsid w:val="00515E1C"/>
    <w:rsid w:val="005178D4"/>
    <w:rsid w:val="00517BCC"/>
    <w:rsid w:val="00521C9F"/>
    <w:rsid w:val="005244C4"/>
    <w:rsid w:val="00543938"/>
    <w:rsid w:val="00545E4A"/>
    <w:rsid w:val="00553AB1"/>
    <w:rsid w:val="00557125"/>
    <w:rsid w:val="00566679"/>
    <w:rsid w:val="0057467A"/>
    <w:rsid w:val="005831FB"/>
    <w:rsid w:val="005942FF"/>
    <w:rsid w:val="005953A6"/>
    <w:rsid w:val="005A5AFB"/>
    <w:rsid w:val="005A71B4"/>
    <w:rsid w:val="005A778D"/>
    <w:rsid w:val="005F3912"/>
    <w:rsid w:val="005F433B"/>
    <w:rsid w:val="00610EBF"/>
    <w:rsid w:val="00625016"/>
    <w:rsid w:val="006339AB"/>
    <w:rsid w:val="006577B6"/>
    <w:rsid w:val="006619EB"/>
    <w:rsid w:val="006631B6"/>
    <w:rsid w:val="00685BBA"/>
    <w:rsid w:val="006A3366"/>
    <w:rsid w:val="006B0472"/>
    <w:rsid w:val="006B2823"/>
    <w:rsid w:val="006B313C"/>
    <w:rsid w:val="006C5974"/>
    <w:rsid w:val="006C6B98"/>
    <w:rsid w:val="006C7AAC"/>
    <w:rsid w:val="006D303A"/>
    <w:rsid w:val="006E1D3C"/>
    <w:rsid w:val="006F1174"/>
    <w:rsid w:val="00704DBE"/>
    <w:rsid w:val="00711933"/>
    <w:rsid w:val="007201CE"/>
    <w:rsid w:val="00723402"/>
    <w:rsid w:val="00724C14"/>
    <w:rsid w:val="00724CF5"/>
    <w:rsid w:val="00743A3A"/>
    <w:rsid w:val="007449AA"/>
    <w:rsid w:val="00746814"/>
    <w:rsid w:val="00750719"/>
    <w:rsid w:val="00750772"/>
    <w:rsid w:val="007519D3"/>
    <w:rsid w:val="00752761"/>
    <w:rsid w:val="00754C3A"/>
    <w:rsid w:val="00773EE1"/>
    <w:rsid w:val="007776A5"/>
    <w:rsid w:val="00781777"/>
    <w:rsid w:val="00791156"/>
    <w:rsid w:val="00794065"/>
    <w:rsid w:val="00794D90"/>
    <w:rsid w:val="007A3992"/>
    <w:rsid w:val="007B256C"/>
    <w:rsid w:val="007C5E09"/>
    <w:rsid w:val="007D3654"/>
    <w:rsid w:val="007E122B"/>
    <w:rsid w:val="007E6092"/>
    <w:rsid w:val="007F0155"/>
    <w:rsid w:val="007F7183"/>
    <w:rsid w:val="0080477B"/>
    <w:rsid w:val="00804DFE"/>
    <w:rsid w:val="00814A06"/>
    <w:rsid w:val="00836D5A"/>
    <w:rsid w:val="008556CD"/>
    <w:rsid w:val="008929B1"/>
    <w:rsid w:val="008B5E93"/>
    <w:rsid w:val="008B7BC2"/>
    <w:rsid w:val="008C1F41"/>
    <w:rsid w:val="008C46B2"/>
    <w:rsid w:val="008C59CF"/>
    <w:rsid w:val="008C7D30"/>
    <w:rsid w:val="008E46F6"/>
    <w:rsid w:val="008E77E4"/>
    <w:rsid w:val="009013CB"/>
    <w:rsid w:val="009032E5"/>
    <w:rsid w:val="00922D69"/>
    <w:rsid w:val="00935E39"/>
    <w:rsid w:val="00951F34"/>
    <w:rsid w:val="00956EDC"/>
    <w:rsid w:val="00971E03"/>
    <w:rsid w:val="009745E7"/>
    <w:rsid w:val="0098767B"/>
    <w:rsid w:val="009940A8"/>
    <w:rsid w:val="009944C1"/>
    <w:rsid w:val="009A7C1C"/>
    <w:rsid w:val="009A7F60"/>
    <w:rsid w:val="009D1E0B"/>
    <w:rsid w:val="009D4D00"/>
    <w:rsid w:val="009D7C7A"/>
    <w:rsid w:val="009F7B7C"/>
    <w:rsid w:val="00A00459"/>
    <w:rsid w:val="00A02549"/>
    <w:rsid w:val="00A151CF"/>
    <w:rsid w:val="00A16CC2"/>
    <w:rsid w:val="00A34C09"/>
    <w:rsid w:val="00A35DC0"/>
    <w:rsid w:val="00A4641B"/>
    <w:rsid w:val="00A47EAC"/>
    <w:rsid w:val="00A50BC0"/>
    <w:rsid w:val="00A55660"/>
    <w:rsid w:val="00A62FC4"/>
    <w:rsid w:val="00A852CA"/>
    <w:rsid w:val="00AA061E"/>
    <w:rsid w:val="00AD3926"/>
    <w:rsid w:val="00AD5583"/>
    <w:rsid w:val="00AE3654"/>
    <w:rsid w:val="00AF36B9"/>
    <w:rsid w:val="00B0342C"/>
    <w:rsid w:val="00B20108"/>
    <w:rsid w:val="00B319FD"/>
    <w:rsid w:val="00B422F3"/>
    <w:rsid w:val="00B44DCC"/>
    <w:rsid w:val="00B64163"/>
    <w:rsid w:val="00B6606A"/>
    <w:rsid w:val="00B77719"/>
    <w:rsid w:val="00B83B2F"/>
    <w:rsid w:val="00BA384F"/>
    <w:rsid w:val="00BA648D"/>
    <w:rsid w:val="00BB4D80"/>
    <w:rsid w:val="00BB76AB"/>
    <w:rsid w:val="00BD55CB"/>
    <w:rsid w:val="00BE02B1"/>
    <w:rsid w:val="00C04BD6"/>
    <w:rsid w:val="00C04C35"/>
    <w:rsid w:val="00C16A02"/>
    <w:rsid w:val="00C33BCD"/>
    <w:rsid w:val="00C3566E"/>
    <w:rsid w:val="00C50133"/>
    <w:rsid w:val="00C67BC2"/>
    <w:rsid w:val="00C73656"/>
    <w:rsid w:val="00C75E71"/>
    <w:rsid w:val="00C91087"/>
    <w:rsid w:val="00C94FBB"/>
    <w:rsid w:val="00C95DBC"/>
    <w:rsid w:val="00CA4537"/>
    <w:rsid w:val="00CB566C"/>
    <w:rsid w:val="00CC3A09"/>
    <w:rsid w:val="00CD4033"/>
    <w:rsid w:val="00CE703D"/>
    <w:rsid w:val="00D07EAD"/>
    <w:rsid w:val="00D23B61"/>
    <w:rsid w:val="00D345D1"/>
    <w:rsid w:val="00D477BF"/>
    <w:rsid w:val="00D52070"/>
    <w:rsid w:val="00D675DE"/>
    <w:rsid w:val="00D6776C"/>
    <w:rsid w:val="00D70C57"/>
    <w:rsid w:val="00D7178C"/>
    <w:rsid w:val="00D73015"/>
    <w:rsid w:val="00D80EC8"/>
    <w:rsid w:val="00D9746C"/>
    <w:rsid w:val="00DA2E04"/>
    <w:rsid w:val="00DB4EF7"/>
    <w:rsid w:val="00DB6D4C"/>
    <w:rsid w:val="00DC1FA1"/>
    <w:rsid w:val="00DD4340"/>
    <w:rsid w:val="00DE3BBB"/>
    <w:rsid w:val="00E047B4"/>
    <w:rsid w:val="00E13E81"/>
    <w:rsid w:val="00E30632"/>
    <w:rsid w:val="00E32382"/>
    <w:rsid w:val="00E33635"/>
    <w:rsid w:val="00E339AD"/>
    <w:rsid w:val="00E42E3F"/>
    <w:rsid w:val="00E65496"/>
    <w:rsid w:val="00E66C88"/>
    <w:rsid w:val="00E678B3"/>
    <w:rsid w:val="00E96F70"/>
    <w:rsid w:val="00EA769B"/>
    <w:rsid w:val="00EB464F"/>
    <w:rsid w:val="00EC03A3"/>
    <w:rsid w:val="00EC1B91"/>
    <w:rsid w:val="00EC57C6"/>
    <w:rsid w:val="00ED2DFD"/>
    <w:rsid w:val="00EE15A5"/>
    <w:rsid w:val="00EF0CA0"/>
    <w:rsid w:val="00F26541"/>
    <w:rsid w:val="00F34D41"/>
    <w:rsid w:val="00F61234"/>
    <w:rsid w:val="00FA17D9"/>
    <w:rsid w:val="00FA3B97"/>
    <w:rsid w:val="00FB1097"/>
    <w:rsid w:val="00FC7A7D"/>
    <w:rsid w:val="00FD0AAB"/>
    <w:rsid w:val="00FD3516"/>
    <w:rsid w:val="00FD3F84"/>
    <w:rsid w:val="00FD4DC0"/>
    <w:rsid w:val="00FD682E"/>
    <w:rsid w:val="00FF3C26"/>
    <w:rsid w:val="00FF4314"/>
    <w:rsid w:val="00FF7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CC3"/>
    <w:rPr>
      <w:sz w:val="18"/>
      <w:szCs w:val="18"/>
    </w:rPr>
  </w:style>
  <w:style w:type="paragraph" w:styleId="a4">
    <w:name w:val="footer"/>
    <w:basedOn w:val="a"/>
    <w:link w:val="Char0"/>
    <w:uiPriority w:val="99"/>
    <w:unhideWhenUsed/>
    <w:rsid w:val="00210C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0CC3"/>
    <w:rPr>
      <w:sz w:val="18"/>
      <w:szCs w:val="18"/>
    </w:rPr>
  </w:style>
  <w:style w:type="character" w:styleId="a5">
    <w:name w:val="annotation reference"/>
    <w:basedOn w:val="a0"/>
    <w:uiPriority w:val="99"/>
    <w:semiHidden/>
    <w:unhideWhenUsed/>
    <w:rsid w:val="006619EB"/>
    <w:rPr>
      <w:sz w:val="21"/>
      <w:szCs w:val="21"/>
    </w:rPr>
  </w:style>
  <w:style w:type="paragraph" w:styleId="a6">
    <w:name w:val="annotation text"/>
    <w:basedOn w:val="a"/>
    <w:link w:val="Char1"/>
    <w:uiPriority w:val="99"/>
    <w:semiHidden/>
    <w:unhideWhenUsed/>
    <w:rsid w:val="006619EB"/>
    <w:pPr>
      <w:jc w:val="left"/>
    </w:pPr>
  </w:style>
  <w:style w:type="character" w:customStyle="1" w:styleId="Char1">
    <w:name w:val="批注文字 Char"/>
    <w:basedOn w:val="a0"/>
    <w:link w:val="a6"/>
    <w:uiPriority w:val="99"/>
    <w:semiHidden/>
    <w:rsid w:val="006619EB"/>
  </w:style>
  <w:style w:type="paragraph" w:styleId="a7">
    <w:name w:val="annotation subject"/>
    <w:basedOn w:val="a6"/>
    <w:next w:val="a6"/>
    <w:link w:val="Char2"/>
    <w:uiPriority w:val="99"/>
    <w:semiHidden/>
    <w:unhideWhenUsed/>
    <w:rsid w:val="006619EB"/>
    <w:rPr>
      <w:b/>
      <w:bCs/>
    </w:rPr>
  </w:style>
  <w:style w:type="character" w:customStyle="1" w:styleId="Char2">
    <w:name w:val="批注主题 Char"/>
    <w:basedOn w:val="Char1"/>
    <w:link w:val="a7"/>
    <w:uiPriority w:val="99"/>
    <w:semiHidden/>
    <w:rsid w:val="006619EB"/>
    <w:rPr>
      <w:b/>
      <w:bCs/>
    </w:rPr>
  </w:style>
  <w:style w:type="paragraph" w:styleId="a8">
    <w:name w:val="Balloon Text"/>
    <w:basedOn w:val="a"/>
    <w:link w:val="Char3"/>
    <w:uiPriority w:val="99"/>
    <w:semiHidden/>
    <w:unhideWhenUsed/>
    <w:rsid w:val="006619EB"/>
    <w:rPr>
      <w:sz w:val="18"/>
      <w:szCs w:val="18"/>
    </w:rPr>
  </w:style>
  <w:style w:type="character" w:customStyle="1" w:styleId="Char3">
    <w:name w:val="批注框文本 Char"/>
    <w:basedOn w:val="a0"/>
    <w:link w:val="a8"/>
    <w:uiPriority w:val="99"/>
    <w:semiHidden/>
    <w:rsid w:val="006619EB"/>
    <w:rPr>
      <w:sz w:val="18"/>
      <w:szCs w:val="18"/>
    </w:rPr>
  </w:style>
  <w:style w:type="paragraph" w:styleId="a9">
    <w:name w:val="Revision"/>
    <w:hidden/>
    <w:uiPriority w:val="99"/>
    <w:semiHidden/>
    <w:rsid w:val="0007250D"/>
  </w:style>
  <w:style w:type="paragraph" w:styleId="aa">
    <w:name w:val="List Paragraph"/>
    <w:basedOn w:val="a"/>
    <w:uiPriority w:val="34"/>
    <w:qFormat/>
    <w:rsid w:val="00FA17D9"/>
    <w:pPr>
      <w:ind w:firstLineChars="200" w:firstLine="420"/>
    </w:pPr>
  </w:style>
  <w:style w:type="paragraph" w:customStyle="1" w:styleId="Default">
    <w:name w:val="Default"/>
    <w:rsid w:val="007E6092"/>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43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1668</Characters>
  <Application>Microsoft Office Word</Application>
  <DocSecurity>4</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苏慧欣</dc:creator>
  <cp:keywords/>
  <dc:description/>
  <cp:lastModifiedBy>ZHONGM</cp:lastModifiedBy>
  <cp:revision>2</cp:revision>
  <dcterms:created xsi:type="dcterms:W3CDTF">2024-03-14T16:01:00Z</dcterms:created>
  <dcterms:modified xsi:type="dcterms:W3CDTF">2024-03-14T16:01:00Z</dcterms:modified>
</cp:coreProperties>
</file>