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11B5F">
      <w:pPr>
        <w:pStyle w:val="XBRL2"/>
        <w:spacing w:before="156"/>
        <w:rPr>
          <w:rFonts w:eastAsia="Cambria" w:cs="Cambria"/>
          <w:lang w:val="en-US"/>
        </w:rPr>
      </w:pPr>
      <w:bookmarkStart w:id="0" w:name="_Toc510201001"/>
      <w:bookmarkEnd w:id="0"/>
      <w:r>
        <w:rPr>
          <w:rFonts w:eastAsia="Cambria" w:cs="Cambria"/>
          <w:lang w:val="en-US"/>
        </w:rPr>
        <w:t xml:space="preserve">　</w:t>
      </w:r>
      <w:r>
        <w:rPr>
          <w:rFonts w:eastAsia="Cambria" w:cs="Cambria"/>
          <w:lang w:val="en-US"/>
        </w:rPr>
        <w:t xml:space="preserve"> </w:t>
      </w:r>
    </w:p>
    <w:p w:rsidR="00000000" w:rsidRDefault="00B11B5F">
      <w:pPr>
        <w:jc w:val="center"/>
      </w:pPr>
      <w:r>
        <w:rPr>
          <w:b/>
          <w:sz w:val="48"/>
          <w:szCs w:val="48"/>
        </w:rPr>
        <w:t>中海货币市场证券投资基金收益支付公告</w:t>
      </w:r>
    </w:p>
    <w:p w:rsidR="00000000" w:rsidRDefault="00B11B5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11B5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11B5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11B5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11B5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11B5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11B5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11B5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11B5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11B5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11B5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11B5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11B5F">
      <w:pPr>
        <w:spacing w:line="560" w:lineRule="exact"/>
        <w:jc w:val="center"/>
        <w:rPr>
          <w:rFonts w:cs="宋体"/>
          <w:color w:val="000000"/>
          <w:kern w:val="0"/>
          <w:sz w:val="18"/>
        </w:rPr>
      </w:pPr>
      <w:r>
        <w:rPr>
          <w:rFonts w:cs="宋体"/>
          <w:color w:val="000000"/>
          <w:kern w:val="0"/>
          <w:sz w:val="18"/>
        </w:rPr>
        <w:t xml:space="preserve">　</w:t>
      </w:r>
      <w:r>
        <w:rPr>
          <w:rFonts w:cs="宋体"/>
          <w:color w:val="000000"/>
          <w:kern w:val="0"/>
          <w:sz w:val="18"/>
        </w:rPr>
        <w:t xml:space="preserve"> </w:t>
      </w:r>
    </w:p>
    <w:p w:rsidR="00000000" w:rsidRDefault="00B11B5F">
      <w:pPr>
        <w:spacing w:line="360" w:lineRule="auto"/>
        <w:jc w:val="center"/>
      </w:pPr>
      <w:r>
        <w:rPr>
          <w:rFonts w:cs="宋体"/>
          <w:b/>
          <w:bCs/>
          <w:sz w:val="24"/>
          <w:szCs w:val="30"/>
        </w:rPr>
        <w:t>公告送出日期：</w:t>
      </w:r>
      <w:r>
        <w:rPr>
          <w:rFonts w:cs="宋体"/>
          <w:b/>
          <w:bCs/>
          <w:sz w:val="24"/>
          <w:szCs w:val="30"/>
        </w:rPr>
        <w:t>2024</w:t>
      </w:r>
      <w:r>
        <w:rPr>
          <w:rFonts w:cs="宋体"/>
          <w:b/>
          <w:bCs/>
          <w:sz w:val="24"/>
          <w:szCs w:val="30"/>
        </w:rPr>
        <w:t>年</w:t>
      </w:r>
      <w:r>
        <w:rPr>
          <w:rFonts w:cs="宋体"/>
          <w:b/>
          <w:bCs/>
          <w:sz w:val="24"/>
          <w:szCs w:val="30"/>
        </w:rPr>
        <w:t>3</w:t>
      </w:r>
      <w:r>
        <w:rPr>
          <w:rFonts w:cs="宋体"/>
          <w:b/>
          <w:bCs/>
          <w:sz w:val="24"/>
          <w:szCs w:val="30"/>
        </w:rPr>
        <w:t>月</w:t>
      </w:r>
      <w:r>
        <w:rPr>
          <w:rFonts w:cs="宋体"/>
          <w:b/>
          <w:bCs/>
          <w:sz w:val="24"/>
          <w:szCs w:val="30"/>
        </w:rPr>
        <w:t>15</w:t>
      </w:r>
      <w:r>
        <w:rPr>
          <w:rFonts w:cs="宋体"/>
          <w:b/>
          <w:bCs/>
          <w:sz w:val="24"/>
          <w:szCs w:val="30"/>
        </w:rPr>
        <w:t>日</w:t>
      </w:r>
    </w:p>
    <w:p w:rsidR="00000000" w:rsidRDefault="00B11B5F">
      <w:pPr>
        <w:pStyle w:val="XBRLTitle1"/>
        <w:spacing w:before="156"/>
        <w:jc w:val="left"/>
      </w:pPr>
      <w:r>
        <w:rPr>
          <w:rFonts w:hAnsi="宋体" w:cs="宋体"/>
          <w:color w:val="404040"/>
          <w:sz w:val="21"/>
          <w:szCs w:val="20"/>
          <w:lang/>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szCs w:val="24"/>
          <w:lang w:val="en-US"/>
        </w:rPr>
        <w:lastRenderedPageBreak/>
        <w:t>公告基本信息</w:t>
      </w:r>
      <w:bookmarkEnd w:id="1"/>
      <w:bookmarkEnd w:id="2"/>
      <w:bookmarkEnd w:id="3"/>
      <w:bookmarkEnd w:id="4"/>
      <w:bookmarkEnd w:id="5"/>
      <w:bookmarkEnd w:id="6"/>
      <w:bookmarkEnd w:id="7"/>
      <w:bookmarkEnd w:id="8"/>
      <w:bookmarkEnd w:id="9"/>
      <w:r>
        <w:rPr>
          <w:szCs w:val="24"/>
          <w:lang w:val="en-US"/>
        </w:rPr>
        <w:t xml:space="preserve"> </w:t>
      </w:r>
    </w:p>
    <w:tbl>
      <w:tblPr>
        <w:tblW w:w="87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1"/>
        <w:gridCol w:w="5739"/>
      </w:tblGrid>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szCs w:val="21"/>
              </w:rPr>
              <w:t>基金名称</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B11B5F">
            <w:r>
              <w:rPr>
                <w:szCs w:val="21"/>
              </w:rPr>
              <w:t>中海货币市场证券投资基金</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szCs w:val="21"/>
              </w:rPr>
              <w:t>基金简称</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B11B5F">
            <w:r>
              <w:rPr>
                <w:szCs w:val="21"/>
              </w:rPr>
              <w:t>中海货币</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szCs w:val="21"/>
              </w:rPr>
              <w:t>基金主代码</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B11B5F">
            <w:r>
              <w:rPr>
                <w:szCs w:val="21"/>
              </w:rPr>
              <w:t>392001</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szCs w:val="21"/>
              </w:rPr>
              <w:t>基金合同生效日</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B11B5F">
            <w:pPr>
              <w:spacing w:line="560" w:lineRule="exact"/>
            </w:pPr>
            <w:r>
              <w:rPr>
                <w:color w:val="000000"/>
                <w:kern w:val="0"/>
                <w:szCs w:val="21"/>
              </w:rPr>
              <w:t>2010</w:t>
            </w:r>
            <w:r>
              <w:rPr>
                <w:color w:val="000000"/>
                <w:kern w:val="0"/>
                <w:szCs w:val="21"/>
              </w:rPr>
              <w:t>年</w:t>
            </w:r>
            <w:r>
              <w:rPr>
                <w:color w:val="000000"/>
                <w:kern w:val="0"/>
                <w:szCs w:val="21"/>
              </w:rPr>
              <w:t>7</w:t>
            </w:r>
            <w:r>
              <w:rPr>
                <w:color w:val="000000"/>
                <w:kern w:val="0"/>
                <w:szCs w:val="21"/>
              </w:rPr>
              <w:t>月</w:t>
            </w:r>
            <w:r>
              <w:rPr>
                <w:color w:val="000000"/>
                <w:kern w:val="0"/>
                <w:szCs w:val="21"/>
              </w:rPr>
              <w:t>28</w:t>
            </w:r>
            <w:r>
              <w:rPr>
                <w:color w:val="000000"/>
                <w:kern w:val="0"/>
                <w:szCs w:val="21"/>
              </w:rPr>
              <w:t>日</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szCs w:val="21"/>
              </w:rPr>
              <w:t>基金管理人名称</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B11B5F">
            <w:r>
              <w:rPr>
                <w:szCs w:val="21"/>
              </w:rPr>
              <w:t>中海基金管理有限公司</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szCs w:val="21"/>
              </w:rPr>
              <w:t>公告依据</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B11B5F">
            <w:r>
              <w:rPr>
                <w:szCs w:val="21"/>
              </w:rPr>
              <w:t>《中海货币市场证券投资基金基金合同》、《中海货币市场证券投资基金招募说明书》</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szCs w:val="21"/>
              </w:rPr>
              <w:t>收益集中支付日期</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B11B5F">
            <w:pPr>
              <w:spacing w:line="560" w:lineRule="exact"/>
            </w:pPr>
            <w:r>
              <w:rPr>
                <w:color w:val="000000"/>
                <w:kern w:val="0"/>
                <w:szCs w:val="21"/>
              </w:rPr>
              <w:t>2024</w:t>
            </w:r>
            <w:r>
              <w:rPr>
                <w:color w:val="000000"/>
                <w:kern w:val="0"/>
                <w:szCs w:val="21"/>
              </w:rPr>
              <w:t>年</w:t>
            </w:r>
            <w:r>
              <w:rPr>
                <w:color w:val="000000"/>
                <w:kern w:val="0"/>
                <w:szCs w:val="21"/>
              </w:rPr>
              <w:t>3</w:t>
            </w:r>
            <w:r>
              <w:rPr>
                <w:color w:val="000000"/>
                <w:kern w:val="0"/>
                <w:szCs w:val="21"/>
              </w:rPr>
              <w:t>月</w:t>
            </w:r>
            <w:r>
              <w:rPr>
                <w:color w:val="000000"/>
                <w:kern w:val="0"/>
                <w:szCs w:val="21"/>
              </w:rPr>
              <w:t>15</w:t>
            </w:r>
            <w:r>
              <w:rPr>
                <w:color w:val="000000"/>
                <w:kern w:val="0"/>
                <w:szCs w:val="21"/>
              </w:rPr>
              <w:t>日</w:t>
            </w:r>
          </w:p>
        </w:tc>
      </w:tr>
      <w:tr w:rsidR="00000000">
        <w:trPr>
          <w:trHeight w:val="565"/>
        </w:trPr>
        <w:tc>
          <w:tcPr>
            <w:tcW w:w="3019"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szCs w:val="21"/>
              </w:rPr>
              <w:t>收益累计期间</w:t>
            </w:r>
            <w:r>
              <w:rPr>
                <w:color w:val="000000"/>
                <w:szCs w:val="21"/>
              </w:rPr>
              <w:t xml:space="preserve"> </w:t>
            </w:r>
          </w:p>
        </w:tc>
        <w:tc>
          <w:tcPr>
            <w:tcW w:w="5736" w:type="dxa"/>
            <w:tcBorders>
              <w:top w:val="single" w:sz="4" w:space="0" w:color="auto"/>
              <w:left w:val="single" w:sz="4" w:space="0" w:color="auto"/>
              <w:bottom w:val="single" w:sz="4" w:space="0" w:color="auto"/>
              <w:right w:val="single" w:sz="4" w:space="0" w:color="auto"/>
            </w:tcBorders>
            <w:vAlign w:val="center"/>
          </w:tcPr>
          <w:p w:rsidR="00000000" w:rsidRDefault="00B11B5F">
            <w:r>
              <w:rPr>
                <w:szCs w:val="21"/>
              </w:rPr>
              <w:t>自</w:t>
            </w:r>
            <w:r>
              <w:rPr>
                <w:szCs w:val="21"/>
              </w:rPr>
              <w:t>20</w:t>
            </w:r>
            <w:r>
              <w:rPr>
                <w:szCs w:val="21"/>
              </w:rPr>
              <w:t>24</w:t>
            </w:r>
            <w:r>
              <w:rPr>
                <w:szCs w:val="21"/>
              </w:rPr>
              <w:t>年</w:t>
            </w:r>
            <w:r>
              <w:rPr>
                <w:szCs w:val="21"/>
              </w:rPr>
              <w:t>2</w:t>
            </w:r>
            <w:r>
              <w:rPr>
                <w:szCs w:val="21"/>
              </w:rPr>
              <w:t>月</w:t>
            </w:r>
            <w:r>
              <w:rPr>
                <w:szCs w:val="21"/>
              </w:rPr>
              <w:t>19</w:t>
            </w:r>
            <w:r>
              <w:rPr>
                <w:szCs w:val="21"/>
              </w:rPr>
              <w:t>日至</w:t>
            </w:r>
            <w:r>
              <w:rPr>
                <w:szCs w:val="21"/>
              </w:rPr>
              <w:t>2024</w:t>
            </w:r>
            <w:r>
              <w:rPr>
                <w:szCs w:val="21"/>
              </w:rPr>
              <w:t>年</w:t>
            </w:r>
            <w:r>
              <w:rPr>
                <w:szCs w:val="21"/>
              </w:rPr>
              <w:t>3</w:t>
            </w:r>
            <w:r>
              <w:rPr>
                <w:szCs w:val="21"/>
              </w:rPr>
              <w:t>月</w:t>
            </w:r>
            <w:r>
              <w:rPr>
                <w:szCs w:val="21"/>
              </w:rPr>
              <w:t>14</w:t>
            </w:r>
            <w:r>
              <w:rPr>
                <w:szCs w:val="21"/>
              </w:rPr>
              <w:t>日止</w:t>
            </w:r>
            <w:r>
              <w:rPr>
                <w:szCs w:val="21"/>
              </w:rPr>
              <w:t xml:space="preserve"> </w:t>
            </w:r>
          </w:p>
        </w:tc>
      </w:tr>
    </w:tbl>
    <w:p w:rsidR="00000000" w:rsidRDefault="00B11B5F">
      <w:pPr>
        <w:pStyle w:val="XBRLTitle1"/>
        <w:spacing w:before="156" w:line="360" w:lineRule="auto"/>
        <w:jc w:val="left"/>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szCs w:val="24"/>
          <w:lang w:val="en-US"/>
        </w:rPr>
        <w:t>与收益支付相关的其他信息</w:t>
      </w:r>
      <w:bookmarkEnd w:id="13"/>
      <w:bookmarkEnd w:id="14"/>
      <w:bookmarkEnd w:id="15"/>
      <w:bookmarkEnd w:id="16"/>
      <w:bookmarkEnd w:id="17"/>
      <w:bookmarkEnd w:id="18"/>
      <w:bookmarkEnd w:id="19"/>
      <w:bookmarkEnd w:id="20"/>
      <w:bookmarkEnd w:id="21"/>
      <w:r>
        <w:rPr>
          <w:rFonts w:hAnsi="宋体"/>
          <w:szCs w:val="24"/>
          <w:lang w:val="en-US"/>
        </w:rPr>
        <w:t xml:space="preserve"> </w:t>
      </w:r>
      <w:bookmarkEnd w:id="10"/>
      <w:bookmarkEnd w:id="11"/>
      <w:bookmarkEnd w:id="12"/>
    </w:p>
    <w:tbl>
      <w:tblPr>
        <w:tblW w:w="87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5"/>
        <w:gridCol w:w="5655"/>
      </w:tblGrid>
      <w:tr w:rsidR="00000000">
        <w:trPr>
          <w:trHeight w:val="249"/>
        </w:trPr>
        <w:tc>
          <w:tcPr>
            <w:tcW w:w="3103"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kern w:val="0"/>
                <w:szCs w:val="21"/>
              </w:rPr>
              <w:t>累计收益计算公式</w:t>
            </w:r>
            <w:r>
              <w:rPr>
                <w:color w:val="000000"/>
                <w:kern w:val="0"/>
                <w:szCs w:val="21"/>
              </w:rPr>
              <w:t xml:space="preserve"> </w:t>
            </w:r>
          </w:p>
        </w:tc>
        <w:tc>
          <w:tcPr>
            <w:tcW w:w="5652" w:type="dxa"/>
            <w:tcBorders>
              <w:top w:val="single" w:sz="4" w:space="0" w:color="auto"/>
              <w:left w:val="single" w:sz="4" w:space="0" w:color="auto"/>
              <w:bottom w:val="single" w:sz="4" w:space="0" w:color="auto"/>
              <w:right w:val="single" w:sz="4" w:space="0" w:color="auto"/>
            </w:tcBorders>
            <w:vAlign w:val="center"/>
          </w:tcPr>
          <w:p w:rsidR="00000000" w:rsidRDefault="00B11B5F">
            <w:r>
              <w:rPr>
                <w:szCs w:val="21"/>
              </w:rPr>
              <w:t>投资者累计收益＝∑投资者日收益（即投资者日收益逐日累加）投资者日收益</w:t>
            </w:r>
            <w:r>
              <w:rPr>
                <w:szCs w:val="21"/>
              </w:rPr>
              <w:t>=</w:t>
            </w:r>
            <w:r>
              <w:rPr>
                <w:szCs w:val="21"/>
              </w:rPr>
              <w:t>（投资者当日所持有的基金份额</w:t>
            </w:r>
            <w:r>
              <w:rPr>
                <w:szCs w:val="21"/>
              </w:rPr>
              <w:t>+</w:t>
            </w:r>
            <w:r>
              <w:rPr>
                <w:szCs w:val="21"/>
              </w:rPr>
              <w:t>当日累计待结转收益）×当日基金收益</w:t>
            </w:r>
            <w:r>
              <w:rPr>
                <w:szCs w:val="21"/>
              </w:rPr>
              <w:t>/</w:t>
            </w:r>
            <w:r>
              <w:rPr>
                <w:szCs w:val="21"/>
              </w:rPr>
              <w:t>（当日基金总份额</w:t>
            </w:r>
            <w:r>
              <w:rPr>
                <w:szCs w:val="21"/>
              </w:rPr>
              <w:t>+</w:t>
            </w:r>
            <w:r>
              <w:rPr>
                <w:szCs w:val="21"/>
              </w:rPr>
              <w:t>所有待结转收益）（保留到分）</w:t>
            </w:r>
          </w:p>
        </w:tc>
      </w:tr>
      <w:tr w:rsidR="00000000">
        <w:trPr>
          <w:trHeight w:val="498"/>
        </w:trPr>
        <w:tc>
          <w:tcPr>
            <w:tcW w:w="3103"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kern w:val="0"/>
                <w:szCs w:val="21"/>
              </w:rPr>
              <w:t>收益结转的基金份额可赎回起始日</w:t>
            </w:r>
            <w:r>
              <w:rPr>
                <w:color w:val="000000"/>
                <w:kern w:val="0"/>
                <w:szCs w:val="21"/>
              </w:rPr>
              <w:t xml:space="preserve"> </w:t>
            </w:r>
          </w:p>
        </w:tc>
        <w:tc>
          <w:tcPr>
            <w:tcW w:w="5652" w:type="dxa"/>
            <w:tcBorders>
              <w:top w:val="single" w:sz="4" w:space="0" w:color="auto"/>
              <w:left w:val="single" w:sz="4" w:space="0" w:color="auto"/>
              <w:bottom w:val="single" w:sz="4" w:space="0" w:color="auto"/>
              <w:right w:val="single" w:sz="4" w:space="0" w:color="auto"/>
            </w:tcBorders>
            <w:vAlign w:val="center"/>
          </w:tcPr>
          <w:p w:rsidR="00000000" w:rsidRDefault="00B11B5F">
            <w:r>
              <w:rPr>
                <w:szCs w:val="21"/>
              </w:rPr>
              <w:t>2024</w:t>
            </w:r>
            <w:r>
              <w:rPr>
                <w:szCs w:val="21"/>
              </w:rPr>
              <w:t>年</w:t>
            </w:r>
            <w:r>
              <w:rPr>
                <w:szCs w:val="21"/>
              </w:rPr>
              <w:t>3</w:t>
            </w:r>
            <w:r>
              <w:rPr>
                <w:szCs w:val="21"/>
              </w:rPr>
              <w:t>月</w:t>
            </w:r>
            <w:r>
              <w:rPr>
                <w:szCs w:val="21"/>
              </w:rPr>
              <w:t>18</w:t>
            </w:r>
            <w:r>
              <w:rPr>
                <w:szCs w:val="21"/>
              </w:rPr>
              <w:t>日</w:t>
            </w:r>
          </w:p>
        </w:tc>
      </w:tr>
      <w:tr w:rsidR="00000000">
        <w:trPr>
          <w:trHeight w:val="249"/>
        </w:trPr>
        <w:tc>
          <w:tcPr>
            <w:tcW w:w="3103"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kern w:val="0"/>
                <w:szCs w:val="21"/>
              </w:rPr>
              <w:t>收益支付对象</w:t>
            </w:r>
            <w:r>
              <w:rPr>
                <w:color w:val="000000"/>
                <w:kern w:val="0"/>
                <w:szCs w:val="21"/>
              </w:rPr>
              <w:t xml:space="preserve"> </w:t>
            </w:r>
          </w:p>
        </w:tc>
        <w:tc>
          <w:tcPr>
            <w:tcW w:w="5652" w:type="dxa"/>
            <w:tcBorders>
              <w:top w:val="single" w:sz="4" w:space="0" w:color="auto"/>
              <w:left w:val="single" w:sz="4" w:space="0" w:color="auto"/>
              <w:bottom w:val="single" w:sz="4" w:space="0" w:color="auto"/>
              <w:right w:val="single" w:sz="4" w:space="0" w:color="auto"/>
            </w:tcBorders>
          </w:tcPr>
          <w:p w:rsidR="00000000" w:rsidRDefault="00B11B5F">
            <w:r>
              <w:rPr>
                <w:szCs w:val="21"/>
              </w:rPr>
              <w:t>收益支付日的前一工作日在中海基金管理有限公司登记在册的本基金全体份额持有人。</w:t>
            </w:r>
          </w:p>
        </w:tc>
      </w:tr>
      <w:tr w:rsidR="00000000">
        <w:trPr>
          <w:trHeight w:val="249"/>
        </w:trPr>
        <w:tc>
          <w:tcPr>
            <w:tcW w:w="3103"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kern w:val="0"/>
                <w:szCs w:val="21"/>
              </w:rPr>
              <w:t>收益支付办法</w:t>
            </w:r>
            <w:r>
              <w:rPr>
                <w:color w:val="000000"/>
                <w:kern w:val="0"/>
                <w:szCs w:val="21"/>
              </w:rPr>
              <w:t xml:space="preserve"> </w:t>
            </w:r>
          </w:p>
        </w:tc>
        <w:tc>
          <w:tcPr>
            <w:tcW w:w="5652" w:type="dxa"/>
            <w:tcBorders>
              <w:top w:val="single" w:sz="4" w:space="0" w:color="auto"/>
              <w:left w:val="single" w:sz="4" w:space="0" w:color="auto"/>
              <w:bottom w:val="single" w:sz="4" w:space="0" w:color="auto"/>
              <w:right w:val="single" w:sz="4" w:space="0" w:color="auto"/>
            </w:tcBorders>
          </w:tcPr>
          <w:p w:rsidR="00000000" w:rsidRDefault="00B11B5F">
            <w:r>
              <w:rPr>
                <w:szCs w:val="21"/>
              </w:rPr>
              <w:t>本基金收益支付方式为收益再投资方式，投资者收益结转的基金份额于</w:t>
            </w:r>
            <w:r>
              <w:rPr>
                <w:szCs w:val="21"/>
              </w:rPr>
              <w:t>2024</w:t>
            </w:r>
            <w:r>
              <w:rPr>
                <w:szCs w:val="21"/>
              </w:rPr>
              <w:t>年</w:t>
            </w:r>
            <w:r>
              <w:rPr>
                <w:szCs w:val="21"/>
              </w:rPr>
              <w:t>3</w:t>
            </w:r>
            <w:r>
              <w:rPr>
                <w:szCs w:val="21"/>
              </w:rPr>
              <w:t>月</w:t>
            </w:r>
            <w:r>
              <w:rPr>
                <w:szCs w:val="21"/>
              </w:rPr>
              <w:t>15</w:t>
            </w:r>
            <w:r>
              <w:rPr>
                <w:szCs w:val="21"/>
              </w:rPr>
              <w:t>日直接计入其基金账户，</w:t>
            </w:r>
            <w:r>
              <w:rPr>
                <w:szCs w:val="21"/>
              </w:rPr>
              <w:t>2024</w:t>
            </w:r>
            <w:r>
              <w:rPr>
                <w:szCs w:val="21"/>
              </w:rPr>
              <w:t>年</w:t>
            </w:r>
            <w:r>
              <w:rPr>
                <w:szCs w:val="21"/>
              </w:rPr>
              <w:t>3</w:t>
            </w:r>
            <w:r>
              <w:rPr>
                <w:szCs w:val="21"/>
              </w:rPr>
              <w:t>月</w:t>
            </w:r>
            <w:r>
              <w:rPr>
                <w:szCs w:val="21"/>
              </w:rPr>
              <w:t>18</w:t>
            </w:r>
            <w:r>
              <w:rPr>
                <w:szCs w:val="21"/>
              </w:rPr>
              <w:t>日起可通过相应的销售机构及其网点查询及赎回。</w:t>
            </w:r>
          </w:p>
        </w:tc>
      </w:tr>
      <w:tr w:rsidR="00000000">
        <w:trPr>
          <w:trHeight w:val="504"/>
        </w:trPr>
        <w:tc>
          <w:tcPr>
            <w:tcW w:w="3103"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kern w:val="0"/>
                <w:szCs w:val="21"/>
              </w:rPr>
              <w:t>税收相关事项的说明</w:t>
            </w:r>
            <w:r>
              <w:rPr>
                <w:color w:val="000000"/>
                <w:kern w:val="0"/>
                <w:szCs w:val="21"/>
              </w:rPr>
              <w:t xml:space="preserve"> </w:t>
            </w:r>
          </w:p>
        </w:tc>
        <w:tc>
          <w:tcPr>
            <w:tcW w:w="5652" w:type="dxa"/>
            <w:tcBorders>
              <w:top w:val="single" w:sz="4" w:space="0" w:color="auto"/>
              <w:left w:val="single" w:sz="4" w:space="0" w:color="auto"/>
              <w:bottom w:val="single" w:sz="4" w:space="0" w:color="auto"/>
              <w:right w:val="single" w:sz="4" w:space="0" w:color="auto"/>
            </w:tcBorders>
          </w:tcPr>
          <w:p w:rsidR="00000000" w:rsidRDefault="00B11B5F">
            <w:r>
              <w:rPr>
                <w:szCs w:val="21"/>
              </w:rPr>
              <w:t>根据财政部、国家税务总局《关于开放式证券投资基金有关税收问题的通知》（财税字［２００２］１２８号），对投资者（包括个人和机构投资者）从基金分配中取得的收入，暂不征收个人所得税和企业所得税。</w:t>
            </w:r>
          </w:p>
        </w:tc>
      </w:tr>
      <w:tr w:rsidR="00000000">
        <w:trPr>
          <w:trHeight w:val="498"/>
        </w:trPr>
        <w:tc>
          <w:tcPr>
            <w:tcW w:w="3103" w:type="dxa"/>
            <w:tcBorders>
              <w:top w:val="single" w:sz="4" w:space="0" w:color="auto"/>
              <w:left w:val="single" w:sz="4" w:space="0" w:color="auto"/>
              <w:bottom w:val="single" w:sz="4" w:space="0" w:color="auto"/>
              <w:right w:val="single" w:sz="4" w:space="0" w:color="auto"/>
            </w:tcBorders>
          </w:tcPr>
          <w:p w:rsidR="00000000" w:rsidRDefault="00B11B5F">
            <w:pPr>
              <w:spacing w:line="560" w:lineRule="exact"/>
            </w:pPr>
            <w:r>
              <w:rPr>
                <w:color w:val="000000"/>
                <w:kern w:val="0"/>
                <w:szCs w:val="21"/>
              </w:rPr>
              <w:t>费用相关事项的说明</w:t>
            </w:r>
            <w:r>
              <w:rPr>
                <w:color w:val="000000"/>
                <w:kern w:val="0"/>
                <w:szCs w:val="21"/>
              </w:rPr>
              <w:t xml:space="preserve"> </w:t>
            </w:r>
          </w:p>
        </w:tc>
        <w:tc>
          <w:tcPr>
            <w:tcW w:w="5652" w:type="dxa"/>
            <w:tcBorders>
              <w:top w:val="single" w:sz="4" w:space="0" w:color="auto"/>
              <w:left w:val="single" w:sz="4" w:space="0" w:color="auto"/>
              <w:bottom w:val="single" w:sz="4" w:space="0" w:color="auto"/>
              <w:right w:val="single" w:sz="4" w:space="0" w:color="auto"/>
            </w:tcBorders>
          </w:tcPr>
          <w:p w:rsidR="00000000" w:rsidRDefault="00B11B5F">
            <w:r>
              <w:rPr>
                <w:szCs w:val="21"/>
              </w:rPr>
              <w:t>本基金本次收益分配免收分红手续费和再投资手续费。</w:t>
            </w:r>
          </w:p>
        </w:tc>
      </w:tr>
    </w:tbl>
    <w:p w:rsidR="00000000" w:rsidRDefault="00B11B5F">
      <w:pPr>
        <w:pStyle w:val="XBRLTitle1"/>
        <w:spacing w:before="156" w:line="360" w:lineRule="auto"/>
        <w:jc w:val="left"/>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szCs w:val="24"/>
          <w:lang w:val="en-US"/>
        </w:rPr>
        <w:t>其他需要提示的事项</w:t>
      </w:r>
      <w:bookmarkEnd w:id="22"/>
      <w:bookmarkEnd w:id="23"/>
      <w:bookmarkEnd w:id="24"/>
      <w:bookmarkEnd w:id="25"/>
      <w:bookmarkEnd w:id="26"/>
      <w:bookmarkEnd w:id="27"/>
      <w:bookmarkEnd w:id="28"/>
      <w:bookmarkEnd w:id="29"/>
      <w:bookmarkEnd w:id="30"/>
      <w:r>
        <w:rPr>
          <w:rFonts w:hAnsi="宋体"/>
          <w:szCs w:val="24"/>
          <w:lang w:val="en-US"/>
        </w:rPr>
        <w:t xml:space="preserve"> </w:t>
      </w:r>
    </w:p>
    <w:p w:rsidR="00000000" w:rsidRDefault="00B11B5F">
      <w:pPr>
        <w:spacing w:line="360" w:lineRule="auto"/>
        <w:ind w:firstLineChars="200" w:firstLine="420"/>
        <w:jc w:val="left"/>
      </w:pPr>
      <w:r>
        <w:rPr>
          <w:rFonts w:cs="宋体"/>
          <w:szCs w:val="21"/>
        </w:rPr>
        <w:t>（</w:t>
      </w:r>
      <w:r>
        <w:rPr>
          <w:rFonts w:cs="宋体"/>
          <w:szCs w:val="21"/>
        </w:rPr>
        <w:t>1</w:t>
      </w:r>
      <w:r>
        <w:rPr>
          <w:rFonts w:cs="宋体"/>
          <w:szCs w:val="21"/>
        </w:rPr>
        <w:t>）　根据中国证监会、中国人民银行《货币市场基金监督管理办法》</w:t>
      </w:r>
      <w:r>
        <w:rPr>
          <w:rFonts w:cs="宋体"/>
          <w:szCs w:val="21"/>
        </w:rPr>
        <w:t>(</w:t>
      </w:r>
      <w:r>
        <w:rPr>
          <w:rFonts w:cs="宋体"/>
          <w:szCs w:val="21"/>
        </w:rPr>
        <w:t>证监会令第</w:t>
      </w:r>
      <w:r>
        <w:rPr>
          <w:rFonts w:cs="宋体"/>
          <w:szCs w:val="21"/>
        </w:rPr>
        <w:t>120</w:t>
      </w:r>
      <w:r>
        <w:rPr>
          <w:rFonts w:cs="宋体"/>
          <w:szCs w:val="21"/>
        </w:rPr>
        <w:t>号</w:t>
      </w:r>
      <w:r>
        <w:rPr>
          <w:rFonts w:cs="宋体"/>
          <w:szCs w:val="21"/>
        </w:rPr>
        <w:t>)</w:t>
      </w:r>
      <w:r>
        <w:rPr>
          <w:rFonts w:cs="宋体"/>
          <w:szCs w:val="21"/>
        </w:rPr>
        <w:t>的规定，投</w:t>
      </w:r>
      <w:r>
        <w:rPr>
          <w:rFonts w:cs="宋体"/>
          <w:szCs w:val="21"/>
        </w:rPr>
        <w:t>资者于收益支付日申请申购、转换转入的基金份额不享有当日的收益，申请赎回、转换转出的基金份额享有当日的收益。</w:t>
      </w:r>
      <w:r>
        <w:rPr>
          <w:rFonts w:cs="宋体"/>
          <w:szCs w:val="21"/>
        </w:rPr>
        <w:br/>
      </w:r>
      <w:r>
        <w:rPr>
          <w:rFonts w:cs="宋体"/>
          <w:szCs w:val="21"/>
        </w:rPr>
        <w:lastRenderedPageBreak/>
        <w:t>（</w:t>
      </w:r>
      <w:r>
        <w:rPr>
          <w:rFonts w:cs="宋体"/>
          <w:szCs w:val="21"/>
        </w:rPr>
        <w:t>2</w:t>
      </w:r>
      <w:r>
        <w:rPr>
          <w:rFonts w:cs="宋体"/>
          <w:szCs w:val="21"/>
        </w:rPr>
        <w:t>）　本基金投资者的累计收益将于每月</w:t>
      </w:r>
      <w:r>
        <w:rPr>
          <w:rFonts w:cs="宋体"/>
          <w:szCs w:val="21"/>
        </w:rPr>
        <w:t>15</w:t>
      </w:r>
      <w:r>
        <w:rPr>
          <w:rFonts w:cs="宋体"/>
          <w:szCs w:val="21"/>
        </w:rPr>
        <w:t>日集中支付并按</w:t>
      </w:r>
      <w:r>
        <w:rPr>
          <w:rFonts w:cs="宋体"/>
          <w:szCs w:val="21"/>
        </w:rPr>
        <w:t>1.00</w:t>
      </w:r>
      <w:r>
        <w:rPr>
          <w:rFonts w:cs="宋体"/>
          <w:szCs w:val="21"/>
        </w:rPr>
        <w:t>元的份额面值自动结转为基金份额。若该日为非工作日，则顺延到下一工作日。</w:t>
      </w:r>
      <w:r>
        <w:rPr>
          <w:rFonts w:cs="宋体"/>
          <w:szCs w:val="21"/>
        </w:rPr>
        <w:br/>
      </w:r>
      <w:r>
        <w:rPr>
          <w:rFonts w:cs="宋体"/>
          <w:szCs w:val="21"/>
        </w:rPr>
        <w:t>（</w:t>
      </w:r>
      <w:r>
        <w:rPr>
          <w:rFonts w:cs="宋体"/>
          <w:szCs w:val="21"/>
        </w:rPr>
        <w:t>3</w:t>
      </w:r>
      <w:r>
        <w:rPr>
          <w:rFonts w:cs="宋体"/>
          <w:szCs w:val="21"/>
        </w:rPr>
        <w:t>）　咨询办法</w:t>
      </w:r>
      <w:r>
        <w:rPr>
          <w:rFonts w:cs="宋体"/>
          <w:szCs w:val="21"/>
        </w:rPr>
        <w:br/>
      </w:r>
      <w:r>
        <w:rPr>
          <w:rFonts w:cs="宋体"/>
          <w:szCs w:val="21"/>
        </w:rPr>
        <w:t>投资者可通过以下途径咨询本基金的收益支付详情：</w:t>
      </w:r>
      <w:r>
        <w:rPr>
          <w:rFonts w:cs="宋体"/>
          <w:szCs w:val="21"/>
        </w:rPr>
        <w:br/>
      </w:r>
      <w:r>
        <w:rPr>
          <w:rFonts w:cs="宋体"/>
          <w:szCs w:val="21"/>
        </w:rPr>
        <w:t xml:space="preserve">①　中海基金管理有限公司网站　</w:t>
      </w:r>
      <w:r>
        <w:rPr>
          <w:rFonts w:cs="宋体"/>
          <w:szCs w:val="21"/>
        </w:rPr>
        <w:t>http</w:t>
      </w:r>
      <w:r>
        <w:rPr>
          <w:rFonts w:cs="宋体"/>
          <w:szCs w:val="21"/>
        </w:rPr>
        <w:t>：</w:t>
      </w:r>
      <w:r>
        <w:rPr>
          <w:rFonts w:cs="宋体"/>
          <w:szCs w:val="21"/>
        </w:rPr>
        <w:t>//www.zhfund.com</w:t>
      </w:r>
      <w:r>
        <w:rPr>
          <w:rFonts w:cs="宋体"/>
          <w:szCs w:val="21"/>
        </w:rPr>
        <w:t>。</w:t>
      </w:r>
      <w:r>
        <w:rPr>
          <w:rFonts w:cs="宋体"/>
          <w:szCs w:val="21"/>
        </w:rPr>
        <w:br/>
      </w:r>
      <w:r>
        <w:rPr>
          <w:rFonts w:cs="宋体"/>
          <w:szCs w:val="21"/>
        </w:rPr>
        <w:t>②　中海基金管理有限公司客户服务热线：</w:t>
      </w:r>
      <w:r>
        <w:rPr>
          <w:rFonts w:cs="宋体"/>
          <w:szCs w:val="21"/>
        </w:rPr>
        <w:t>400-888-9788</w:t>
      </w:r>
      <w:r>
        <w:rPr>
          <w:rFonts w:cs="宋体"/>
          <w:szCs w:val="21"/>
        </w:rPr>
        <w:t>或</w:t>
      </w:r>
      <w:r>
        <w:rPr>
          <w:rFonts w:cs="宋体"/>
          <w:szCs w:val="21"/>
        </w:rPr>
        <w:t>021</w:t>
      </w:r>
      <w:r>
        <w:rPr>
          <w:rFonts w:cs="宋体"/>
          <w:szCs w:val="21"/>
        </w:rPr>
        <w:t>—</w:t>
      </w:r>
      <w:r>
        <w:rPr>
          <w:rFonts w:cs="宋体"/>
          <w:szCs w:val="21"/>
        </w:rPr>
        <w:t>38789788</w:t>
      </w:r>
      <w:r>
        <w:rPr>
          <w:rFonts w:cs="宋体"/>
          <w:szCs w:val="21"/>
        </w:rPr>
        <w:t>。</w:t>
      </w:r>
    </w:p>
    <w:p w:rsidR="00000000" w:rsidRDefault="00B11B5F">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B11B5F">
      <w:pPr>
        <w:spacing w:line="360" w:lineRule="auto"/>
        <w:ind w:firstLineChars="600" w:firstLine="1446"/>
        <w:jc w:val="right"/>
        <w:rPr>
          <w:rFonts w:cs="宋体"/>
          <w:b/>
          <w:bCs/>
          <w:sz w:val="24"/>
          <w:szCs w:val="30"/>
        </w:rPr>
      </w:pPr>
      <w:r>
        <w:rPr>
          <w:rFonts w:cs="宋体"/>
          <w:b/>
          <w:bCs/>
          <w:sz w:val="24"/>
          <w:szCs w:val="30"/>
        </w:rPr>
        <w:t xml:space="preserve">　</w:t>
      </w:r>
      <w:r>
        <w:rPr>
          <w:rFonts w:cs="宋体"/>
          <w:b/>
          <w:bCs/>
          <w:sz w:val="24"/>
          <w:szCs w:val="30"/>
        </w:rPr>
        <w:t xml:space="preserve"> </w:t>
      </w:r>
    </w:p>
    <w:p w:rsidR="00000000" w:rsidRDefault="00B11B5F">
      <w:pPr>
        <w:spacing w:line="360" w:lineRule="auto"/>
        <w:ind w:firstLineChars="600" w:firstLine="1446"/>
        <w:jc w:val="right"/>
      </w:pPr>
      <w:r>
        <w:rPr>
          <w:rFonts w:cs="宋体"/>
          <w:b/>
          <w:bCs/>
          <w:sz w:val="24"/>
          <w:szCs w:val="24"/>
        </w:rPr>
        <w:t>中海基金管理有限公司</w:t>
      </w:r>
    </w:p>
    <w:p w:rsidR="00000000" w:rsidRDefault="00B11B5F">
      <w:pPr>
        <w:spacing w:line="360" w:lineRule="auto"/>
        <w:ind w:firstLineChars="600" w:firstLine="1446"/>
        <w:jc w:val="right"/>
      </w:pPr>
      <w:r>
        <w:rPr>
          <w:rFonts w:cs="宋体"/>
          <w:b/>
          <w:bCs/>
          <w:sz w:val="24"/>
          <w:szCs w:val="24"/>
        </w:rPr>
        <w:t>2024</w:t>
      </w:r>
      <w:r>
        <w:rPr>
          <w:rFonts w:cs="宋体"/>
          <w:b/>
          <w:bCs/>
          <w:sz w:val="24"/>
          <w:szCs w:val="24"/>
        </w:rPr>
        <w:t>年</w:t>
      </w:r>
      <w:r>
        <w:rPr>
          <w:rFonts w:cs="宋体"/>
          <w:b/>
          <w:bCs/>
          <w:sz w:val="24"/>
          <w:szCs w:val="24"/>
        </w:rPr>
        <w:t>3</w:t>
      </w:r>
      <w:r>
        <w:rPr>
          <w:rFonts w:cs="宋体"/>
          <w:b/>
          <w:bCs/>
          <w:sz w:val="24"/>
          <w:szCs w:val="24"/>
        </w:rPr>
        <w:t>月</w:t>
      </w:r>
      <w:r>
        <w:rPr>
          <w:rFonts w:cs="宋体"/>
          <w:b/>
          <w:bCs/>
          <w:sz w:val="24"/>
          <w:szCs w:val="24"/>
        </w:rPr>
        <w:t>15</w:t>
      </w:r>
      <w:r>
        <w:rPr>
          <w:rFonts w:cs="宋体"/>
          <w:b/>
          <w:bCs/>
          <w:sz w:val="24"/>
          <w:szCs w:val="24"/>
        </w:rPr>
        <w:t>日</w:t>
      </w:r>
      <w:bookmarkEnd w:id="31"/>
    </w:p>
    <w:sectPr w:rsidR="00000000">
      <w:headerReference w:type="default" r:id="rId7"/>
      <w:footerReference w:type="default" r:id="rId8"/>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11B5F">
      <w:r>
        <w:separator/>
      </w:r>
    </w:p>
  </w:endnote>
  <w:endnote w:type="continuationSeparator" w:id="0">
    <w:p w:rsidR="00000000" w:rsidRDefault="00B11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icrosoft YaHei UI">
    <w:charset w:val="86"/>
    <w:family w:val="auto"/>
    <w:pitch w:val="default"/>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auto"/>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1B5F">
    <w:pPr>
      <w:jc w:val="center"/>
    </w:pPr>
    <w:r>
      <w:rPr>
        <w:rFonts w:cs="宋体"/>
        <w:sz w:val="18"/>
        <w:szCs w:val="18"/>
      </w:rPr>
      <w:t>第</w:t>
    </w:r>
    <w:r>
      <w:t xml:space="preserve"> </w:t>
    </w:r>
    <w:r>
      <w:rPr>
        <w:rFonts w:cs="宋体"/>
        <w:sz w:val="18"/>
        <w:szCs w:val="18"/>
      </w:rPr>
      <w:fldChar w:fldCharType="begin"/>
    </w:r>
    <w:r>
      <w:rPr>
        <w:rFonts w:cs="宋体"/>
        <w:sz w:val="18"/>
        <w:szCs w:val="18"/>
      </w:rPr>
      <w:instrText xml:space="preserve">PAGE </w:instrText>
    </w:r>
    <w:r>
      <w:rPr>
        <w:rFonts w:cs="宋体"/>
        <w:sz w:val="18"/>
        <w:szCs w:val="18"/>
      </w:rPr>
      <w:fldChar w:fldCharType="separate"/>
    </w:r>
    <w:r>
      <w:rPr>
        <w:rFonts w:cs="宋体" w:hint="default"/>
        <w:noProof/>
        <w:sz w:val="18"/>
        <w:szCs w:val="18"/>
      </w:rPr>
      <w:t>2</w:t>
    </w:r>
    <w:r>
      <w:rPr>
        <w:rFonts w:cs="宋体"/>
        <w:sz w:val="18"/>
        <w:szCs w:val="18"/>
      </w:rPr>
      <w:fldChar w:fldCharType="end"/>
    </w:r>
    <w:r>
      <w:rPr>
        <w:rFonts w:cs="宋体"/>
        <w:sz w:val="18"/>
        <w:szCs w:val="18"/>
        <w:lang w:val="zh-CN"/>
      </w:rPr>
      <w:t>页</w:t>
    </w:r>
    <w:r>
      <w:rPr>
        <w:rFonts w:cs="宋体"/>
        <w:sz w:val="18"/>
        <w:szCs w:val="18"/>
        <w:lang w:val="zh-CN"/>
      </w:rPr>
      <w:t xml:space="preserve"> </w:t>
    </w:r>
    <w:r>
      <w:rPr>
        <w:rFonts w:cs="宋体"/>
        <w:sz w:val="18"/>
        <w:szCs w:val="18"/>
        <w:lang w:val="zh-CN"/>
      </w:rPr>
      <w:t>共</w:t>
    </w:r>
    <w:r>
      <w:t xml:space="preserve"> </w:t>
    </w:r>
    <w:r>
      <w:rPr>
        <w:rFonts w:cs="宋体"/>
        <w:sz w:val="18"/>
        <w:szCs w:val="18"/>
      </w:rPr>
      <w:fldChar w:fldCharType="begin"/>
    </w:r>
    <w:r>
      <w:rPr>
        <w:rFonts w:cs="宋体"/>
        <w:sz w:val="18"/>
        <w:szCs w:val="18"/>
      </w:rPr>
      <w:instrText xml:space="preserve">NUMPAGES  </w:instrText>
    </w:r>
    <w:r>
      <w:rPr>
        <w:rFonts w:cs="宋体"/>
        <w:sz w:val="18"/>
        <w:szCs w:val="18"/>
      </w:rPr>
      <w:fldChar w:fldCharType="separate"/>
    </w:r>
    <w:r>
      <w:rPr>
        <w:rFonts w:cs="宋体" w:hint="default"/>
        <w:noProof/>
        <w:sz w:val="18"/>
        <w:szCs w:val="18"/>
      </w:rPr>
      <w:t>2</w:t>
    </w:r>
    <w:r>
      <w:rPr>
        <w:rFonts w:cs="宋体"/>
        <w:sz w:val="18"/>
        <w:szCs w:val="18"/>
      </w:rPr>
      <w:fldChar w:fldCharType="end"/>
    </w:r>
    <w:r>
      <w:rPr>
        <w:rFonts w:cs="宋体"/>
        <w:sz w:val="18"/>
        <w:szCs w:val="18"/>
      </w:rPr>
      <w:t>页</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11B5F">
      <w:r>
        <w:separator/>
      </w:r>
    </w:p>
  </w:footnote>
  <w:footnote w:type="continuationSeparator" w:id="0">
    <w:p w:rsidR="00000000" w:rsidRDefault="00B11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11B5F">
    <w:pPr>
      <w:pStyle w:val="a7"/>
      <w:jc w:val="right"/>
    </w:pPr>
    <w:r>
      <w:rPr>
        <w:rFonts w:cs="宋体"/>
      </w:rPr>
      <w:t>中海货币市场证券投资基金收益支付公告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23ED7"/>
    <w:multiLevelType w:val="multilevel"/>
    <w:tmpl w:val="73323ED7"/>
    <w:lvl w:ilvl="0">
      <w:start w:val="1"/>
      <w:numFmt w:val="decimal"/>
      <w:lvlText w:val="%1."/>
      <w:lvlJc w:val="left"/>
      <w:pPr>
        <w:ind w:left="425" w:hanging="425"/>
      </w:pPr>
      <w:rPr>
        <w:sz w:val="24"/>
        <w:szCs w:val="24"/>
      </w:rPr>
    </w:lvl>
    <w:lvl w:ilvl="1">
      <w:start w:val="1"/>
      <w:numFmt w:val="decimal"/>
      <w:suff w:val="space"/>
      <w:lvlText w:val="%1.%2"/>
      <w:lvlJc w:val="left"/>
      <w:pPr>
        <w:ind w:left="3148" w:hanging="454"/>
      </w:pPr>
    </w:lvl>
    <w:lvl w:ilvl="2">
      <w:start w:val="1"/>
      <w:numFmt w:val="decimal"/>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420"/>
  <w:drawingGridHorizontalSpacing w:val="106"/>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1B5F"/>
    <w:rsid w:val="00B11B5F"/>
    <w:rsid w:val="60BD7E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page number" w:semiHidden="0" w:uiPriority="0" w:unhideWhenUsed="0"/>
    <w:lsdException w:name="Title" w:semiHidden="0" w:uiPriority="10" w:unhideWhenUsed="0" w:qFormat="1"/>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hint="eastAsia"/>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2"/>
    <w:uiPriority w:val="9"/>
    <w:qFormat/>
    <w:pPr>
      <w:keepNext/>
      <w:keepLines/>
      <w:spacing w:before="260" w:after="260" w:line="408" w:lineRule="auto"/>
      <w:outlineLvl w:val="1"/>
    </w:pPr>
    <w:rPr>
      <w:rFonts w:ascii="Cambria" w:eastAsia="Cambria" w:hAnsi="Cambria" w:hint="default"/>
      <w:b/>
      <w:bCs/>
      <w:kern w:val="0"/>
      <w:sz w:val="32"/>
      <w:szCs w:val="32"/>
    </w:rPr>
  </w:style>
  <w:style w:type="paragraph" w:styleId="3">
    <w:name w:val="heading 3"/>
    <w:basedOn w:val="a"/>
    <w:next w:val="a"/>
    <w:link w:val="3Char2"/>
    <w:uiPriority w:val="9"/>
    <w:qFormat/>
    <w:pPr>
      <w:keepNext/>
      <w:keepLines/>
      <w:spacing w:before="260" w:after="260" w:line="408" w:lineRule="auto"/>
      <w:outlineLvl w:val="2"/>
    </w:pPr>
    <w:rPr>
      <w:b/>
      <w:bCs/>
      <w:kern w:val="0"/>
      <w:sz w:val="32"/>
      <w:szCs w:val="32"/>
    </w:rPr>
  </w:style>
  <w:style w:type="paragraph" w:styleId="4">
    <w:name w:val="heading 4"/>
    <w:basedOn w:val="a"/>
    <w:next w:val="a"/>
    <w:link w:val="4Char2"/>
    <w:qFormat/>
    <w:pPr>
      <w:keepNext/>
      <w:keepLines/>
      <w:spacing w:before="240" w:after="290" w:line="372" w:lineRule="auto"/>
      <w:outlineLvl w:val="3"/>
    </w:pPr>
    <w:rPr>
      <w:rFonts w:ascii="Cambria" w:eastAsia="Cambria" w:hAnsi="Cambria" w:hint="default"/>
      <w:b/>
      <w:bCs/>
      <w:kern w:val="0"/>
      <w:sz w:val="24"/>
      <w:szCs w:val="24"/>
    </w:rPr>
  </w:style>
  <w:style w:type="paragraph" w:styleId="5">
    <w:name w:val="heading 5"/>
    <w:basedOn w:val="a"/>
    <w:next w:val="a"/>
    <w:link w:val="5Char1"/>
    <w:uiPriority w:val="9"/>
    <w:qFormat/>
    <w:pPr>
      <w:keepNext/>
      <w:keepLines/>
      <w:spacing w:before="240" w:after="290" w:line="372" w:lineRule="auto"/>
      <w:outlineLvl w:val="4"/>
    </w:pPr>
    <w:rPr>
      <w:b/>
      <w:bCs/>
      <w:sz w:val="24"/>
      <w:szCs w:val="24"/>
    </w:rPr>
  </w:style>
  <w:style w:type="paragraph" w:styleId="6">
    <w:name w:val="heading 6"/>
    <w:basedOn w:val="a"/>
    <w:next w:val="a"/>
    <w:link w:val="6Char1"/>
    <w:uiPriority w:val="9"/>
    <w:qFormat/>
    <w:pPr>
      <w:keepNext/>
      <w:keepLines/>
      <w:spacing w:before="240" w:after="64" w:line="312" w:lineRule="auto"/>
      <w:outlineLvl w:val="5"/>
    </w:pPr>
    <w:rPr>
      <w:rFonts w:ascii="Cambria" w:hAnsi="Cambria" w:hint="default"/>
      <w:b/>
      <w:bCs/>
      <w:sz w:val="24"/>
      <w:szCs w:val="24"/>
    </w:rPr>
  </w:style>
  <w:style w:type="character" w:default="1" w:styleId="a0">
    <w:name w:val="Default Paragraph Font"/>
    <w:uiPriority w:val="99"/>
    <w:unhideWhenUsed/>
  </w:style>
  <w:style w:type="table" w:default="1" w:styleId="a1">
    <w:name w:val="Normal Table"/>
    <w:uiPriority w:val="99"/>
    <w:unhideWhenUsed/>
    <w:rPr>
      <w:rFonts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locked/>
    <w:rPr>
      <w:b/>
      <w:bCs/>
      <w:kern w:val="44"/>
      <w:sz w:val="44"/>
      <w:szCs w:val="44"/>
    </w:rPr>
  </w:style>
  <w:style w:type="character" w:customStyle="1" w:styleId="2Char2">
    <w:name w:val="标题 2 Char2"/>
    <w:basedOn w:val="a0"/>
    <w:link w:val="2"/>
    <w:locked/>
    <w:rPr>
      <w:rFonts w:ascii="Cambria" w:eastAsia="宋体" w:hAnsi="Cambria" w:cs="宋体" w:hint="default"/>
      <w:b/>
      <w:bCs/>
      <w:kern w:val="2"/>
      <w:sz w:val="32"/>
      <w:szCs w:val="32"/>
    </w:rPr>
  </w:style>
  <w:style w:type="character" w:customStyle="1" w:styleId="3Char2">
    <w:name w:val="标题 3 Char2"/>
    <w:basedOn w:val="a0"/>
    <w:link w:val="3"/>
    <w:locked/>
    <w:rPr>
      <w:b/>
      <w:bCs/>
      <w:kern w:val="2"/>
      <w:sz w:val="32"/>
      <w:szCs w:val="32"/>
    </w:rPr>
  </w:style>
  <w:style w:type="character" w:customStyle="1" w:styleId="4Char2">
    <w:name w:val="标题 4 Char2"/>
    <w:basedOn w:val="a0"/>
    <w:link w:val="4"/>
    <w:locked/>
    <w:rPr>
      <w:rFonts w:ascii="Cambria" w:eastAsia="宋体" w:hAnsi="Cambria" w:cs="宋体" w:hint="default"/>
      <w:b/>
      <w:bCs/>
      <w:kern w:val="2"/>
      <w:sz w:val="24"/>
      <w:szCs w:val="24"/>
    </w:rPr>
  </w:style>
  <w:style w:type="character" w:customStyle="1" w:styleId="5Char1">
    <w:name w:val="标题 5 Char1"/>
    <w:basedOn w:val="a0"/>
    <w:link w:val="5"/>
    <w:locked/>
    <w:rPr>
      <w:b/>
      <w:bCs/>
      <w:kern w:val="2"/>
      <w:sz w:val="24"/>
      <w:szCs w:val="24"/>
    </w:rPr>
  </w:style>
  <w:style w:type="character" w:customStyle="1" w:styleId="6Char1">
    <w:name w:val="标题 6 Char1"/>
    <w:basedOn w:val="a0"/>
    <w:link w:val="6"/>
    <w:locked/>
    <w:rPr>
      <w:rFonts w:ascii="Cambria" w:eastAsia="宋体" w:hAnsi="Cambria" w:cs="宋体" w:hint="default"/>
      <w:b/>
      <w:bCs/>
      <w:kern w:val="2"/>
      <w:sz w:val="24"/>
      <w:szCs w:val="24"/>
    </w:rPr>
  </w:style>
  <w:style w:type="paragraph" w:styleId="a3">
    <w:name w:val="Document Map"/>
    <w:basedOn w:val="a"/>
    <w:link w:val="Char2"/>
    <w:pPr>
      <w:shd w:val="clear" w:color="auto" w:fill="000080"/>
    </w:pPr>
  </w:style>
  <w:style w:type="character" w:customStyle="1" w:styleId="Char2">
    <w:name w:val="文档结构图 Char2"/>
    <w:basedOn w:val="a0"/>
    <w:link w:val="a3"/>
    <w:locked/>
    <w:rPr>
      <w:rFonts w:ascii="Microsoft YaHei UI" w:eastAsia="Microsoft YaHei UI" w:hAnsi="Microsoft YaHei UI" w:cs="Microsoft YaHei UI" w:hint="eastAsia"/>
      <w:kern w:val="2"/>
      <w:sz w:val="18"/>
      <w:szCs w:val="18"/>
    </w:rPr>
  </w:style>
  <w:style w:type="paragraph" w:styleId="30">
    <w:name w:val="toc 3"/>
    <w:basedOn w:val="a"/>
    <w:next w:val="a"/>
    <w:uiPriority w:val="39"/>
  </w:style>
  <w:style w:type="paragraph" w:styleId="a4">
    <w:name w:val="Date"/>
    <w:basedOn w:val="a"/>
    <w:next w:val="a"/>
    <w:link w:val="Char1"/>
    <w:rPr>
      <w:sz w:val="32"/>
    </w:rPr>
  </w:style>
  <w:style w:type="character" w:customStyle="1" w:styleId="Char1">
    <w:name w:val="日期 Char1"/>
    <w:basedOn w:val="a0"/>
    <w:link w:val="a4"/>
    <w:locked/>
    <w:rPr>
      <w:rFonts w:ascii="宋体" w:eastAsia="宋体" w:hAnsi="宋体" w:cs="宋体" w:hint="eastAsia"/>
      <w:kern w:val="2"/>
      <w:sz w:val="32"/>
    </w:rPr>
  </w:style>
  <w:style w:type="paragraph" w:styleId="a5">
    <w:name w:val="Balloon Text"/>
    <w:basedOn w:val="a"/>
    <w:link w:val="Char10"/>
    <w:uiPriority w:val="99"/>
    <w:unhideWhenUsed/>
    <w:rPr>
      <w:sz w:val="18"/>
      <w:szCs w:val="18"/>
    </w:rPr>
  </w:style>
  <w:style w:type="character" w:customStyle="1" w:styleId="Char10">
    <w:name w:val="批注框文本 Char1"/>
    <w:basedOn w:val="a0"/>
    <w:link w:val="a5"/>
    <w:locked/>
    <w:rPr>
      <w:kern w:val="2"/>
      <w:sz w:val="18"/>
      <w:szCs w:val="18"/>
    </w:rPr>
  </w:style>
  <w:style w:type="paragraph" w:styleId="a6">
    <w:name w:val="footer"/>
    <w:basedOn w:val="a"/>
    <w:link w:val="Char11"/>
    <w:pPr>
      <w:tabs>
        <w:tab w:val="center" w:pos="4153"/>
        <w:tab w:val="right" w:pos="8306"/>
      </w:tabs>
      <w:snapToGrid w:val="0"/>
      <w:jc w:val="left"/>
    </w:pPr>
    <w:rPr>
      <w:sz w:val="18"/>
      <w:szCs w:val="18"/>
    </w:rPr>
  </w:style>
  <w:style w:type="character" w:customStyle="1" w:styleId="Char11">
    <w:name w:val="页脚 Char1"/>
    <w:basedOn w:val="a0"/>
    <w:link w:val="a6"/>
    <w:locked/>
    <w:rPr>
      <w:kern w:val="2"/>
      <w:sz w:val="18"/>
      <w:szCs w:val="18"/>
    </w:rPr>
  </w:style>
  <w:style w:type="paragraph" w:styleId="a7">
    <w:name w:val="header"/>
    <w:basedOn w:val="a"/>
    <w:link w:val="Char20"/>
    <w:pPr>
      <w:pBdr>
        <w:bottom w:val="single" w:sz="6" w:space="1" w:color="auto"/>
      </w:pBdr>
      <w:tabs>
        <w:tab w:val="center" w:pos="4153"/>
        <w:tab w:val="right" w:pos="8306"/>
      </w:tabs>
      <w:snapToGrid w:val="0"/>
      <w:jc w:val="center"/>
    </w:pPr>
    <w:rPr>
      <w:sz w:val="18"/>
      <w:szCs w:val="18"/>
    </w:rPr>
  </w:style>
  <w:style w:type="character" w:customStyle="1" w:styleId="Char20">
    <w:name w:val="页眉 Char2"/>
    <w:basedOn w:val="a0"/>
    <w:link w:val="a7"/>
    <w:locked/>
    <w:rPr>
      <w:kern w:val="2"/>
      <w:sz w:val="18"/>
      <w:szCs w:val="18"/>
    </w:rPr>
  </w:style>
  <w:style w:type="paragraph" w:styleId="10">
    <w:name w:val="toc 1"/>
    <w:basedOn w:val="a"/>
    <w:next w:val="a"/>
    <w:uiPriority w:val="39"/>
    <w:pPr>
      <w:tabs>
        <w:tab w:val="right" w:leader="dot" w:pos="8835"/>
      </w:tabs>
    </w:pPr>
  </w:style>
  <w:style w:type="paragraph" w:styleId="a8">
    <w:name w:val="Subtitle"/>
    <w:basedOn w:val="2"/>
    <w:next w:val="3"/>
    <w:link w:val="Char21"/>
    <w:qFormat/>
    <w:pPr>
      <w:spacing w:before="240" w:after="60" w:line="312" w:lineRule="auto"/>
      <w:jc w:val="left"/>
    </w:pPr>
    <w:rPr>
      <w:rFonts w:eastAsia="宋体"/>
      <w:bCs w:val="0"/>
      <w:kern w:val="24"/>
      <w:sz w:val="24"/>
    </w:rPr>
  </w:style>
  <w:style w:type="character" w:customStyle="1" w:styleId="Char21">
    <w:name w:val="副标题 Char2"/>
    <w:basedOn w:val="a0"/>
    <w:link w:val="a8"/>
    <w:locked/>
    <w:rPr>
      <w:rFonts w:ascii="Calibri" w:eastAsia="宋体" w:hAnsi="Calibri" w:cs="宋体" w:hint="default"/>
      <w:b/>
      <w:bCs/>
      <w:kern w:val="24"/>
      <w:sz w:val="32"/>
      <w:szCs w:val="32"/>
    </w:rPr>
  </w:style>
  <w:style w:type="paragraph" w:styleId="a9">
    <w:name w:val="footnote text"/>
    <w:basedOn w:val="a"/>
    <w:link w:val="Char12"/>
    <w:pPr>
      <w:snapToGrid w:val="0"/>
      <w:jc w:val="left"/>
    </w:pPr>
    <w:rPr>
      <w:sz w:val="18"/>
      <w:szCs w:val="18"/>
    </w:rPr>
  </w:style>
  <w:style w:type="character" w:customStyle="1" w:styleId="Char12">
    <w:name w:val="脚注文本 Char1"/>
    <w:basedOn w:val="a0"/>
    <w:link w:val="a9"/>
    <w:locked/>
    <w:rPr>
      <w:kern w:val="2"/>
      <w:sz w:val="18"/>
      <w:szCs w:val="18"/>
    </w:rPr>
  </w:style>
  <w:style w:type="paragraph" w:styleId="20">
    <w:name w:val="toc 2"/>
    <w:basedOn w:val="a"/>
    <w:next w:val="a"/>
    <w:uiPriority w:val="39"/>
    <w:pPr>
      <w:ind w:leftChars="200" w:left="420"/>
    </w:p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paragraph" w:styleId="aa">
    <w:name w:val="Normal (Web)"/>
    <w:basedOn w:val="a"/>
    <w:pPr>
      <w:widowControl/>
      <w:spacing w:before="100" w:beforeAutospacing="1" w:after="100" w:afterAutospacing="1"/>
      <w:jc w:val="left"/>
    </w:pPr>
    <w:rPr>
      <w:kern w:val="0"/>
      <w:sz w:val="24"/>
    </w:rPr>
  </w:style>
  <w:style w:type="paragraph" w:styleId="ab">
    <w:name w:val="Title"/>
    <w:basedOn w:val="1"/>
    <w:next w:val="2"/>
    <w:link w:val="Char13"/>
    <w:uiPriority w:val="10"/>
    <w:qFormat/>
    <w:pPr>
      <w:keepNext w:val="0"/>
      <w:keepLines w:val="0"/>
      <w:spacing w:before="240" w:after="60"/>
      <w:jc w:val="center"/>
    </w:pPr>
    <w:rPr>
      <w:rFonts w:ascii="Cambria" w:hAnsi="Cambria" w:hint="default"/>
      <w:kern w:val="0"/>
      <w:sz w:val="32"/>
      <w:szCs w:val="32"/>
    </w:rPr>
  </w:style>
  <w:style w:type="character" w:customStyle="1" w:styleId="Char13">
    <w:name w:val="标题 Char1"/>
    <w:basedOn w:val="a0"/>
    <w:link w:val="ab"/>
    <w:locked/>
    <w:rPr>
      <w:rFonts w:ascii="Cambria" w:eastAsia="Cambria" w:hAnsi="Cambria" w:cs="宋体" w:hint="default"/>
      <w:b/>
      <w:bCs/>
      <w:sz w:val="32"/>
      <w:szCs w:val="32"/>
    </w:rPr>
  </w:style>
  <w:style w:type="table" w:styleId="ac">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basedOn w:val="a0"/>
    <w:uiPriority w:val="99"/>
    <w:unhideWhenUsed/>
    <w:rPr>
      <w:color w:val="800080"/>
      <w:u w:val="single"/>
    </w:rPr>
  </w:style>
  <w:style w:type="character" w:styleId="ae">
    <w:name w:val="Hyperlink"/>
    <w:basedOn w:val="a0"/>
    <w:uiPriority w:val="99"/>
    <w:unhideWhenUsed/>
    <w:rPr>
      <w:color w:val="0000FF"/>
      <w:u w:val="single"/>
    </w:rPr>
  </w:style>
  <w:style w:type="character" w:styleId="af">
    <w:name w:val="footnote reference"/>
    <w:basedOn w:val="a0"/>
    <w:rPr>
      <w:vertAlign w:val="superscript"/>
    </w:rPr>
  </w:style>
  <w:style w:type="paragraph" w:customStyle="1" w:styleId="XBRL2">
    <w:name w:val="XBRL标题2"/>
    <w:basedOn w:val="a8"/>
    <w:next w:val="4"/>
    <w:pPr>
      <w:spacing w:beforeLines="50" w:after="0"/>
    </w:pPr>
    <w:rPr>
      <w:bCs/>
    </w:rPr>
  </w:style>
  <w:style w:type="character" w:customStyle="1" w:styleId="Char14">
    <w:name w:val="文档结构图 Char1"/>
    <w:basedOn w:val="a0"/>
    <w:link w:val="a3"/>
    <w:locked/>
    <w:rPr>
      <w:rFonts w:ascii="宋体" w:eastAsia="宋体" w:hAnsi="宋体" w:cs="宋体" w:hint="eastAsia"/>
      <w:kern w:val="2"/>
      <w:sz w:val="18"/>
      <w:szCs w:val="18"/>
    </w:rPr>
  </w:style>
  <w:style w:type="paragraph" w:customStyle="1" w:styleId="XBRLTitle5">
    <w:name w:val="XBRLTitle5"/>
    <w:basedOn w:val="a8"/>
    <w:next w:val="4"/>
    <w:pPr>
      <w:numPr>
        <w:ilvl w:val="4"/>
        <w:numId w:val="1"/>
      </w:numPr>
      <w:spacing w:beforeLines="50" w:after="0"/>
    </w:pPr>
    <w:rPr>
      <w:bCs/>
    </w:rPr>
  </w:style>
  <w:style w:type="character" w:customStyle="1" w:styleId="Char">
    <w:name w:val="页眉 Char"/>
    <w:basedOn w:val="a0"/>
    <w:link w:val="a7"/>
    <w:locked/>
    <w:rPr>
      <w:kern w:val="2"/>
      <w:sz w:val="18"/>
      <w:szCs w:val="18"/>
    </w:rPr>
  </w:style>
  <w:style w:type="character" w:customStyle="1" w:styleId="Char0">
    <w:name w:val="标题 Char"/>
    <w:basedOn w:val="a0"/>
    <w:link w:val="ab"/>
    <w:locked/>
    <w:rPr>
      <w:rFonts w:ascii="Cambria" w:eastAsia="Cambria" w:hAnsi="Cambria" w:cs="宋体" w:hint="default"/>
      <w:b/>
      <w:bCs/>
      <w:kern w:val="2"/>
      <w:sz w:val="32"/>
      <w:szCs w:val="32"/>
    </w:rPr>
  </w:style>
  <w:style w:type="character" w:customStyle="1" w:styleId="1Char">
    <w:name w:val="标题 1 Char"/>
    <w:basedOn w:val="a0"/>
    <w:link w:val="1"/>
    <w:locked/>
    <w:rPr>
      <w:b/>
      <w:bCs/>
      <w:kern w:val="44"/>
      <w:sz w:val="44"/>
      <w:szCs w:val="44"/>
    </w:rPr>
  </w:style>
  <w:style w:type="character" w:customStyle="1" w:styleId="af0">
    <w:name w:val="页脚 字符"/>
    <w:basedOn w:val="a0"/>
    <w:link w:val="a6"/>
    <w:locked/>
    <w:rPr>
      <w:kern w:val="2"/>
      <w:sz w:val="18"/>
      <w:szCs w:val="18"/>
    </w:rPr>
  </w:style>
  <w:style w:type="character" w:customStyle="1" w:styleId="2Char1">
    <w:name w:val="标题 2 Char1"/>
    <w:basedOn w:val="a0"/>
    <w:link w:val="2"/>
    <w:locked/>
    <w:rPr>
      <w:rFonts w:ascii="Cambria" w:eastAsia="宋体" w:hAnsi="Cambria" w:cs="宋体" w:hint="default"/>
      <w:b/>
      <w:bCs/>
      <w:sz w:val="32"/>
      <w:szCs w:val="32"/>
    </w:rPr>
  </w:style>
  <w:style w:type="character" w:customStyle="1" w:styleId="Char3">
    <w:name w:val="脚注文本 Char"/>
    <w:basedOn w:val="a0"/>
    <w:link w:val="a9"/>
    <w:locked/>
    <w:rPr>
      <w:kern w:val="2"/>
      <w:sz w:val="18"/>
      <w:szCs w:val="18"/>
    </w:rPr>
  </w:style>
  <w:style w:type="character" w:customStyle="1" w:styleId="3Char1">
    <w:name w:val="标题 3 Char1"/>
    <w:basedOn w:val="a0"/>
    <w:link w:val="3"/>
    <w:locked/>
    <w:rPr>
      <w:b/>
      <w:bCs/>
      <w:sz w:val="32"/>
      <w:szCs w:val="32"/>
    </w:rPr>
  </w:style>
  <w:style w:type="paragraph" w:customStyle="1" w:styleId="XBRLTitle2">
    <w:name w:val="XBRLTitle2"/>
    <w:basedOn w:val="a8"/>
    <w:next w:val="4"/>
    <w:pPr>
      <w:keepNext w:val="0"/>
      <w:keepLines w:val="0"/>
      <w:numPr>
        <w:ilvl w:val="1"/>
        <w:numId w:val="1"/>
      </w:numPr>
      <w:spacing w:beforeLines="50" w:after="0"/>
      <w:ind w:left="454"/>
    </w:pPr>
    <w:rPr>
      <w:rFonts w:ascii="宋体" w:hint="eastAsia"/>
      <w:bCs/>
    </w:rPr>
  </w:style>
  <w:style w:type="character" w:customStyle="1" w:styleId="11">
    <w:name w:val="标题 1 字符"/>
    <w:basedOn w:val="a0"/>
    <w:link w:val="1"/>
    <w:locked/>
    <w:rPr>
      <w:b/>
      <w:bCs/>
      <w:kern w:val="44"/>
      <w:sz w:val="44"/>
      <w:szCs w:val="44"/>
    </w:rPr>
  </w:style>
  <w:style w:type="character" w:customStyle="1" w:styleId="af1">
    <w:name w:val="日期 字符"/>
    <w:basedOn w:val="a0"/>
    <w:link w:val="a4"/>
    <w:locked/>
    <w:rPr>
      <w:kern w:val="2"/>
      <w:sz w:val="21"/>
    </w:rPr>
  </w:style>
  <w:style w:type="character" w:customStyle="1" w:styleId="3Char">
    <w:name w:val="标题 3 Char"/>
    <w:basedOn w:val="a0"/>
    <w:link w:val="3"/>
    <w:locked/>
    <w:rPr>
      <w:b/>
      <w:bCs/>
      <w:kern w:val="2"/>
      <w:sz w:val="32"/>
      <w:szCs w:val="32"/>
    </w:rPr>
  </w:style>
  <w:style w:type="character" w:customStyle="1" w:styleId="af2">
    <w:name w:val="批注框文本 字符"/>
    <w:basedOn w:val="a0"/>
    <w:link w:val="a5"/>
    <w:locked/>
    <w:rPr>
      <w:kern w:val="2"/>
      <w:sz w:val="18"/>
      <w:szCs w:val="18"/>
    </w:rPr>
  </w:style>
  <w:style w:type="character" w:customStyle="1" w:styleId="af3">
    <w:name w:val="脚注文本 字符"/>
    <w:basedOn w:val="a0"/>
    <w:link w:val="a9"/>
    <w:locked/>
    <w:rPr>
      <w:kern w:val="2"/>
      <w:sz w:val="18"/>
      <w:szCs w:val="18"/>
    </w:rPr>
  </w:style>
  <w:style w:type="character" w:customStyle="1" w:styleId="4Char1">
    <w:name w:val="标题 4 Char1"/>
    <w:basedOn w:val="a0"/>
    <w:link w:val="4"/>
    <w:locked/>
    <w:rPr>
      <w:rFonts w:ascii="Cambria" w:eastAsia="宋体" w:hAnsi="Cambria" w:cs="宋体" w:hint="default"/>
      <w:b/>
      <w:bCs/>
      <w:sz w:val="24"/>
      <w:szCs w:val="24"/>
    </w:rPr>
  </w:style>
  <w:style w:type="character" w:customStyle="1" w:styleId="Char4">
    <w:name w:val="日期 Char"/>
    <w:basedOn w:val="a0"/>
    <w:link w:val="a4"/>
    <w:locked/>
    <w:rPr>
      <w:kern w:val="2"/>
      <w:sz w:val="21"/>
    </w:rPr>
  </w:style>
  <w:style w:type="paragraph" w:customStyle="1" w:styleId="msonormal1">
    <w:name w:val="msonormal1"/>
    <w:basedOn w:val="a"/>
    <w:pPr>
      <w:widowControl/>
      <w:spacing w:before="100" w:beforeAutospacing="1" w:after="100" w:afterAutospacing="1"/>
      <w:jc w:val="left"/>
    </w:pPr>
    <w:rPr>
      <w:kern w:val="0"/>
      <w:sz w:val="24"/>
    </w:r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character" w:customStyle="1" w:styleId="12">
    <w:name w:val="页眉 字符1"/>
    <w:basedOn w:val="a0"/>
    <w:locked/>
    <w:rPr>
      <w:kern w:val="2"/>
      <w:sz w:val="18"/>
      <w:szCs w:val="18"/>
    </w:rPr>
  </w:style>
  <w:style w:type="character" w:customStyle="1" w:styleId="2Char">
    <w:name w:val="标题 2 Char"/>
    <w:basedOn w:val="a0"/>
    <w:link w:val="2"/>
    <w:locked/>
    <w:rPr>
      <w:rFonts w:ascii="Cambria" w:eastAsia="宋体" w:hAnsi="Cambria" w:cs="宋体" w:hint="default"/>
      <w:b/>
      <w:bCs/>
      <w:kern w:val="2"/>
      <w:sz w:val="32"/>
      <w:szCs w:val="32"/>
    </w:rPr>
  </w:style>
  <w:style w:type="character" w:customStyle="1" w:styleId="6Char">
    <w:name w:val="标题 6 Char"/>
    <w:basedOn w:val="a0"/>
    <w:link w:val="6"/>
    <w:locked/>
    <w:rPr>
      <w:rFonts w:ascii="Cambria" w:eastAsia="宋体" w:hAnsi="Cambria" w:cs="宋体" w:hint="default"/>
      <w:b/>
      <w:bCs/>
      <w:kern w:val="2"/>
      <w:sz w:val="24"/>
      <w:szCs w:val="24"/>
    </w:rPr>
  </w:style>
  <w:style w:type="character" w:customStyle="1" w:styleId="4Char">
    <w:name w:val="标题 4 Char"/>
    <w:basedOn w:val="a0"/>
    <w:link w:val="4"/>
    <w:locked/>
    <w:rPr>
      <w:rFonts w:ascii="Cambria" w:eastAsia="宋体" w:hAnsi="Cambria" w:cs="宋体" w:hint="default"/>
      <w:b/>
      <w:bCs/>
      <w:kern w:val="2"/>
      <w:sz w:val="24"/>
      <w:szCs w:val="24"/>
    </w:rPr>
  </w:style>
  <w:style w:type="character" w:customStyle="1" w:styleId="5Char">
    <w:name w:val="标题 5 Char"/>
    <w:basedOn w:val="a0"/>
    <w:link w:val="5"/>
    <w:locked/>
    <w:rPr>
      <w:b/>
      <w:bCs/>
      <w:kern w:val="2"/>
      <w:sz w:val="24"/>
      <w:szCs w:val="24"/>
    </w:rPr>
  </w:style>
  <w:style w:type="character" w:customStyle="1" w:styleId="Char5">
    <w:name w:val="页脚 Char"/>
    <w:basedOn w:val="a0"/>
    <w:link w:val="a6"/>
    <w:locked/>
    <w:rPr>
      <w:kern w:val="2"/>
      <w:sz w:val="18"/>
      <w:szCs w:val="18"/>
    </w:rPr>
  </w:style>
  <w:style w:type="character" w:customStyle="1" w:styleId="Char6">
    <w:name w:val="副标题 Char"/>
    <w:basedOn w:val="a0"/>
    <w:link w:val="a8"/>
    <w:locked/>
    <w:rPr>
      <w:rFonts w:ascii="Cambria" w:eastAsia="Cambria" w:hAnsi="Cambria" w:cs="宋体" w:hint="default"/>
      <w:b/>
      <w:bCs/>
      <w:kern w:val="24"/>
      <w:sz w:val="32"/>
      <w:szCs w:val="32"/>
    </w:rPr>
  </w:style>
  <w:style w:type="paragraph" w:customStyle="1" w:styleId="af4">
    <w:name w:val="次标题"/>
    <w:basedOn w:val="3"/>
    <w:next w:val="a"/>
    <w:pPr>
      <w:spacing w:before="120" w:after="120"/>
      <w:jc w:val="left"/>
    </w:pPr>
    <w:rPr>
      <w:sz w:val="21"/>
    </w:rPr>
  </w:style>
  <w:style w:type="character" w:customStyle="1" w:styleId="Char7">
    <w:name w:val="文档结构图 Char"/>
    <w:basedOn w:val="a0"/>
    <w:link w:val="a3"/>
    <w:locked/>
    <w:rPr>
      <w:rFonts w:ascii="宋体" w:eastAsia="宋体" w:hAnsi="宋体" w:cs="宋体" w:hint="eastAsia"/>
      <w:kern w:val="2"/>
      <w:sz w:val="18"/>
      <w:szCs w:val="18"/>
    </w:rPr>
  </w:style>
  <w:style w:type="character" w:customStyle="1" w:styleId="Char8">
    <w:name w:val="批注框文本 Char"/>
    <w:basedOn w:val="a0"/>
    <w:link w:val="a5"/>
    <w:locked/>
    <w:rPr>
      <w:kern w:val="2"/>
      <w:sz w:val="18"/>
      <w:szCs w:val="18"/>
    </w:rPr>
  </w:style>
  <w:style w:type="paragraph" w:customStyle="1" w:styleId="XBRLTitle6">
    <w:name w:val="XBRLTitle6"/>
    <w:basedOn w:val="a8"/>
    <w:next w:val="4"/>
    <w:pPr>
      <w:numPr>
        <w:ilvl w:val="5"/>
        <w:numId w:val="1"/>
      </w:numPr>
      <w:spacing w:beforeLines="50" w:after="0"/>
    </w:pPr>
    <w:rPr>
      <w:bCs/>
    </w:rPr>
  </w:style>
  <w:style w:type="paragraph" w:customStyle="1" w:styleId="XBRL5">
    <w:name w:val="XBRL标题5"/>
    <w:basedOn w:val="a8"/>
    <w:next w:val="4"/>
    <w:pPr>
      <w:spacing w:beforeLines="50" w:after="0"/>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6">
    <w:name w:val="XBRL标题6"/>
    <w:basedOn w:val="a8"/>
    <w:next w:val="4"/>
    <w:pPr>
      <w:spacing w:beforeLines="50" w:after="0"/>
    </w:pPr>
    <w:rPr>
      <w:bCs/>
    </w:rPr>
  </w:style>
  <w:style w:type="paragraph" w:customStyle="1" w:styleId="XBRL3">
    <w:name w:val="XBRL标题3"/>
    <w:basedOn w:val="a8"/>
    <w:next w:val="4"/>
    <w:pPr>
      <w:spacing w:beforeLines="50" w:after="0"/>
    </w:pPr>
    <w:rPr>
      <w:bCs/>
    </w:rPr>
  </w:style>
  <w:style w:type="character" w:customStyle="1" w:styleId="Char15">
    <w:name w:val="副标题 Char1"/>
    <w:basedOn w:val="a0"/>
    <w:link w:val="a8"/>
    <w:locked/>
    <w:rPr>
      <w:rFonts w:ascii="Cambria" w:eastAsia="宋体" w:hAnsi="Cambria" w:cs="宋体" w:hint="default"/>
      <w:b/>
      <w:bCs w:val="0"/>
      <w:kern w:val="24"/>
      <w:sz w:val="24"/>
      <w:szCs w:val="32"/>
    </w:rPr>
  </w:style>
  <w:style w:type="paragraph" w:customStyle="1" w:styleId="XBRLTitle3">
    <w:name w:val="XBRLTitle3"/>
    <w:basedOn w:val="a8"/>
    <w:next w:val="4"/>
    <w:pPr>
      <w:keepNext w:val="0"/>
      <w:keepLines w:val="0"/>
      <w:numPr>
        <w:ilvl w:val="2"/>
        <w:numId w:val="1"/>
      </w:numPr>
      <w:spacing w:beforeLines="50" w:after="0" w:line="360" w:lineRule="auto"/>
      <w:ind w:left="0" w:firstLine="0"/>
    </w:pPr>
    <w:rPr>
      <w:rFonts w:ascii="宋体" w:hint="eastAsia"/>
      <w:bCs/>
    </w:rPr>
  </w:style>
  <w:style w:type="paragraph" w:customStyle="1" w:styleId="XBRLTitle1">
    <w:name w:val="XBRLTitle1"/>
    <w:basedOn w:val="1"/>
    <w:next w:val="2"/>
    <w:pPr>
      <w:keepNext w:val="0"/>
      <w:keepLines w:val="0"/>
      <w:numPr>
        <w:numId w:val="1"/>
      </w:numPr>
      <w:spacing w:beforeLines="50" w:after="0"/>
      <w:jc w:val="center"/>
    </w:pPr>
    <w:rPr>
      <w:rFonts w:hAnsi="Cambria"/>
      <w:sz w:val="24"/>
    </w:rPr>
  </w:style>
  <w:style w:type="paragraph" w:customStyle="1" w:styleId="Char9">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XBRL4">
    <w:name w:val="XBRL标题4"/>
    <w:basedOn w:val="a8"/>
    <w:next w:val="4"/>
    <w:pPr>
      <w:spacing w:beforeLines="50" w:after="0"/>
    </w:pPr>
    <w:rPr>
      <w:bCs/>
    </w:rPr>
  </w:style>
  <w:style w:type="paragraph" w:customStyle="1" w:styleId="XBRLTitle4">
    <w:name w:val="XBRLTitle4"/>
    <w:basedOn w:val="a8"/>
    <w:next w:val="4"/>
    <w:pPr>
      <w:numPr>
        <w:ilvl w:val="3"/>
        <w:numId w:val="1"/>
      </w:numPr>
      <w:spacing w:beforeLines="50" w:after="0"/>
    </w:pPr>
    <w:rPr>
      <w:bCs/>
    </w:rPr>
  </w:style>
  <w:style w:type="character" w:customStyle="1" w:styleId="Char16">
    <w:name w:val="页眉 Char1"/>
    <w:basedOn w:val="a0"/>
    <w:link w:val="a7"/>
    <w:locked/>
    <w:rPr>
      <w:kern w:val="2"/>
      <w:sz w:val="18"/>
      <w:szCs w:val="18"/>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customStyle="1" w:styleId="af5">
    <w:name w:val="标题 字符"/>
    <w:basedOn w:val="a0"/>
    <w:link w:val="ab"/>
    <w:locked/>
    <w:rPr>
      <w:rFonts w:ascii="Cambria" w:eastAsia="宋体" w:hAnsi="Cambria" w:cs="宋体" w:hint="default"/>
      <w:b/>
      <w:bCs/>
      <w:kern w:val="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881</Characters>
  <Application>Microsoft Office Word</Application>
  <DocSecurity>4</DocSecurity>
  <Lines>7</Lines>
  <Paragraphs>2</Paragraphs>
  <ScaleCrop>false</ScaleCrop>
  <Company>CNSTOCK</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2024-03-14T16:01:00Z</dcterms:created>
  <dcterms:modified xsi:type="dcterms:W3CDTF">2024-03-14T16:01:00Z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F7E9F8670E5E4963A5ED1AB839EF813D</vt:lpwstr>
  </property>
</Properties>
</file>