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C61" w:rsidRDefault="00210C7B">
      <w:pPr>
        <w:spacing w:line="360" w:lineRule="auto"/>
        <w:jc w:val="center"/>
        <w:rPr>
          <w:rFonts w:asciiTheme="minorEastAsia" w:hAnsiTheme="minorEastAsia"/>
          <w:b/>
          <w:sz w:val="28"/>
          <w:szCs w:val="28"/>
        </w:rPr>
      </w:pPr>
      <w:r>
        <w:rPr>
          <w:rFonts w:asciiTheme="minorEastAsia" w:hAnsiTheme="minorEastAsia" w:hint="eastAsia"/>
          <w:b/>
          <w:sz w:val="28"/>
          <w:szCs w:val="28"/>
        </w:rPr>
        <w:t>太平基金管理有限公司</w:t>
      </w:r>
    </w:p>
    <w:p w:rsidR="00D91912" w:rsidRPr="00D91912" w:rsidRDefault="00210C7B" w:rsidP="00D91912">
      <w:pPr>
        <w:spacing w:line="360" w:lineRule="auto"/>
        <w:jc w:val="center"/>
        <w:rPr>
          <w:rFonts w:asciiTheme="minorEastAsia" w:hAnsiTheme="minorEastAsia"/>
          <w:b/>
          <w:sz w:val="28"/>
          <w:szCs w:val="28"/>
        </w:rPr>
      </w:pPr>
      <w:r>
        <w:rPr>
          <w:rFonts w:asciiTheme="minorEastAsia" w:hAnsiTheme="minorEastAsia" w:hint="eastAsia"/>
          <w:b/>
          <w:sz w:val="28"/>
          <w:szCs w:val="28"/>
        </w:rPr>
        <w:t>关于</w:t>
      </w:r>
      <w:r w:rsidR="00D91912" w:rsidRPr="00D91912">
        <w:rPr>
          <w:rFonts w:asciiTheme="minorEastAsia" w:hAnsiTheme="minorEastAsia" w:hint="eastAsia"/>
          <w:b/>
          <w:sz w:val="28"/>
          <w:szCs w:val="28"/>
        </w:rPr>
        <w:t>旗下部分基金增加</w:t>
      </w:r>
      <w:r w:rsidR="00D91912">
        <w:rPr>
          <w:rFonts w:asciiTheme="minorEastAsia" w:hAnsiTheme="minorEastAsia" w:hint="eastAsia"/>
          <w:b/>
          <w:sz w:val="28"/>
          <w:szCs w:val="28"/>
        </w:rPr>
        <w:t>国金证券</w:t>
      </w:r>
      <w:r w:rsidR="00D91912" w:rsidRPr="00D91912">
        <w:rPr>
          <w:rFonts w:asciiTheme="minorEastAsia" w:hAnsiTheme="minorEastAsia" w:hint="eastAsia"/>
          <w:b/>
          <w:sz w:val="28"/>
          <w:szCs w:val="28"/>
        </w:rPr>
        <w:t>股份有限公司</w:t>
      </w:r>
    </w:p>
    <w:p w:rsidR="00062C61" w:rsidRDefault="00D91912" w:rsidP="00D91912">
      <w:pPr>
        <w:spacing w:line="360" w:lineRule="auto"/>
        <w:jc w:val="center"/>
        <w:rPr>
          <w:rFonts w:asciiTheme="minorEastAsia" w:hAnsiTheme="minorEastAsia"/>
          <w:b/>
          <w:sz w:val="24"/>
          <w:szCs w:val="24"/>
        </w:rPr>
      </w:pPr>
      <w:r w:rsidRPr="00D91912">
        <w:rPr>
          <w:rFonts w:asciiTheme="minorEastAsia" w:hAnsiTheme="minorEastAsia" w:hint="eastAsia"/>
          <w:b/>
          <w:sz w:val="28"/>
          <w:szCs w:val="28"/>
        </w:rPr>
        <w:t>为销售机构并参加其费率优惠的公告</w:t>
      </w:r>
    </w:p>
    <w:p w:rsidR="00062C61" w:rsidRDefault="00210C7B">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为了更好地满足广大投资者的理财需求，根据太平基金管理有限公司（以下简称“本公司”）与</w:t>
      </w:r>
      <w:r w:rsidR="006E1655">
        <w:rPr>
          <w:rFonts w:asciiTheme="minorEastAsia" w:hAnsiTheme="minorEastAsia" w:hint="eastAsia"/>
          <w:sz w:val="24"/>
          <w:szCs w:val="24"/>
        </w:rPr>
        <w:t>国金证券</w:t>
      </w:r>
      <w:r>
        <w:rPr>
          <w:rFonts w:asciiTheme="minorEastAsia" w:hAnsiTheme="minorEastAsia" w:hint="eastAsia"/>
          <w:sz w:val="24"/>
          <w:szCs w:val="24"/>
        </w:rPr>
        <w:t>股份有限公司（以下简称“</w:t>
      </w:r>
      <w:r w:rsidR="006E1655">
        <w:rPr>
          <w:rFonts w:asciiTheme="minorEastAsia" w:hAnsiTheme="minorEastAsia" w:hint="eastAsia"/>
          <w:sz w:val="24"/>
          <w:szCs w:val="24"/>
        </w:rPr>
        <w:t>国金证券</w:t>
      </w:r>
      <w:r>
        <w:rPr>
          <w:rFonts w:asciiTheme="minorEastAsia" w:hAnsiTheme="minorEastAsia" w:hint="eastAsia"/>
          <w:sz w:val="24"/>
          <w:szCs w:val="24"/>
        </w:rPr>
        <w:t>”）签署的相关销售协议，自</w:t>
      </w:r>
      <w:r>
        <w:rPr>
          <w:rFonts w:asciiTheme="minorEastAsia" w:hAnsiTheme="minorEastAsia" w:hint="eastAsia"/>
          <w:sz w:val="24"/>
          <w:szCs w:val="24"/>
        </w:rPr>
        <w:t>202</w:t>
      </w:r>
      <w:r>
        <w:rPr>
          <w:rFonts w:asciiTheme="minorEastAsia" w:hAnsiTheme="minorEastAsia"/>
          <w:sz w:val="24"/>
          <w:szCs w:val="24"/>
        </w:rPr>
        <w:t>4</w:t>
      </w:r>
      <w:r>
        <w:rPr>
          <w:rFonts w:asciiTheme="minorEastAsia" w:hAnsiTheme="minorEastAsia" w:hint="eastAsia"/>
          <w:sz w:val="24"/>
          <w:szCs w:val="24"/>
        </w:rPr>
        <w:t>年</w:t>
      </w:r>
      <w:r w:rsidR="006E1655">
        <w:rPr>
          <w:rFonts w:asciiTheme="minorEastAsia" w:hAnsiTheme="minorEastAsia"/>
          <w:sz w:val="24"/>
          <w:szCs w:val="24"/>
        </w:rPr>
        <w:t>3</w:t>
      </w:r>
      <w:r>
        <w:rPr>
          <w:rFonts w:asciiTheme="minorEastAsia" w:hAnsiTheme="minorEastAsia" w:hint="eastAsia"/>
          <w:sz w:val="24"/>
          <w:szCs w:val="24"/>
        </w:rPr>
        <w:t>月</w:t>
      </w:r>
      <w:r>
        <w:rPr>
          <w:rFonts w:asciiTheme="minorEastAsia" w:hAnsiTheme="minorEastAsia" w:hint="eastAsia"/>
          <w:sz w:val="24"/>
          <w:szCs w:val="24"/>
        </w:rPr>
        <w:t>1</w:t>
      </w:r>
      <w:r w:rsidR="006E1655">
        <w:rPr>
          <w:rFonts w:asciiTheme="minorEastAsia" w:hAnsiTheme="minorEastAsia"/>
          <w:sz w:val="24"/>
          <w:szCs w:val="24"/>
        </w:rPr>
        <w:t>4</w:t>
      </w:r>
      <w:r>
        <w:rPr>
          <w:rFonts w:asciiTheme="minorEastAsia" w:hAnsiTheme="minorEastAsia" w:hint="eastAsia"/>
          <w:sz w:val="24"/>
          <w:szCs w:val="24"/>
        </w:rPr>
        <w:t>日起，</w:t>
      </w:r>
      <w:r w:rsidR="00D91912" w:rsidRPr="00D91912">
        <w:rPr>
          <w:rFonts w:asciiTheme="minorEastAsia" w:hAnsiTheme="minorEastAsia" w:hint="eastAsia"/>
          <w:sz w:val="24"/>
          <w:szCs w:val="24"/>
        </w:rPr>
        <w:t>本公司旗下部分基金增加</w:t>
      </w:r>
      <w:r w:rsidR="00D91912">
        <w:rPr>
          <w:rFonts w:asciiTheme="minorEastAsia" w:hAnsiTheme="minorEastAsia" w:hint="eastAsia"/>
          <w:sz w:val="24"/>
          <w:szCs w:val="24"/>
        </w:rPr>
        <w:t>国金证券</w:t>
      </w:r>
      <w:r w:rsidR="00D91912" w:rsidRPr="00D91912">
        <w:rPr>
          <w:rFonts w:asciiTheme="minorEastAsia" w:hAnsiTheme="minorEastAsia" w:hint="eastAsia"/>
          <w:sz w:val="24"/>
          <w:szCs w:val="24"/>
        </w:rPr>
        <w:t>为销售机构并参加其费率优惠，具体基金为</w:t>
      </w:r>
      <w:r>
        <w:rPr>
          <w:rFonts w:asciiTheme="minorEastAsia" w:hAnsiTheme="minorEastAsia" w:hint="eastAsia"/>
          <w:sz w:val="24"/>
          <w:szCs w:val="24"/>
        </w:rPr>
        <w:t>具体基金为：</w:t>
      </w:r>
    </w:p>
    <w:p w:rsidR="00062C61" w:rsidRDefault="00210C7B">
      <w:pPr>
        <w:spacing w:line="360" w:lineRule="auto"/>
        <w:ind w:left="121" w:firstLineChars="200" w:firstLine="480"/>
        <w:jc w:val="left"/>
        <w:rPr>
          <w:rFonts w:asciiTheme="minorEastAsia" w:hAnsiTheme="minorEastAsia"/>
          <w:sz w:val="24"/>
          <w:szCs w:val="24"/>
        </w:rPr>
      </w:pPr>
      <w:r>
        <w:rPr>
          <w:rFonts w:asciiTheme="minorEastAsia" w:hAnsiTheme="minorEastAsia" w:hint="eastAsia"/>
          <w:sz w:val="24"/>
          <w:szCs w:val="24"/>
        </w:rPr>
        <w:t>太平日日金货币市场基金（基金简称：太平日日金；</w:t>
      </w:r>
      <w:r>
        <w:rPr>
          <w:rFonts w:asciiTheme="minorEastAsia" w:hAnsiTheme="minorEastAsia" w:hint="eastAsia"/>
          <w:sz w:val="24"/>
          <w:szCs w:val="24"/>
        </w:rPr>
        <w:t>A</w:t>
      </w:r>
      <w:r>
        <w:rPr>
          <w:rFonts w:asciiTheme="minorEastAsia" w:hAnsiTheme="minorEastAsia" w:hint="eastAsia"/>
          <w:sz w:val="24"/>
          <w:szCs w:val="24"/>
        </w:rPr>
        <w:t>类份额基金代码：</w:t>
      </w:r>
      <w:r>
        <w:rPr>
          <w:rFonts w:asciiTheme="minorEastAsia" w:hAnsiTheme="minorEastAsia" w:hint="eastAsia"/>
          <w:sz w:val="24"/>
          <w:szCs w:val="24"/>
        </w:rPr>
        <w:t>003398</w:t>
      </w:r>
      <w:r>
        <w:rPr>
          <w:rFonts w:asciiTheme="minorEastAsia" w:hAnsiTheme="minorEastAsia" w:hint="eastAsia"/>
          <w:sz w:val="24"/>
          <w:szCs w:val="24"/>
        </w:rPr>
        <w:t>，</w:t>
      </w:r>
      <w:r>
        <w:rPr>
          <w:rFonts w:asciiTheme="minorEastAsia" w:hAnsiTheme="minorEastAsia" w:hint="eastAsia"/>
          <w:sz w:val="24"/>
          <w:szCs w:val="24"/>
        </w:rPr>
        <w:t>B</w:t>
      </w:r>
      <w:r>
        <w:rPr>
          <w:rFonts w:asciiTheme="minorEastAsia" w:hAnsiTheme="minorEastAsia" w:hint="eastAsia"/>
          <w:sz w:val="24"/>
          <w:szCs w:val="24"/>
        </w:rPr>
        <w:t>类份额基金代码：</w:t>
      </w:r>
      <w:r>
        <w:rPr>
          <w:rFonts w:asciiTheme="minorEastAsia" w:hAnsiTheme="minorEastAsia" w:hint="eastAsia"/>
          <w:sz w:val="24"/>
          <w:szCs w:val="24"/>
        </w:rPr>
        <w:t>003399</w:t>
      </w:r>
      <w:r>
        <w:rPr>
          <w:rFonts w:asciiTheme="minorEastAsia" w:hAnsiTheme="minorEastAsia" w:hint="eastAsia"/>
          <w:sz w:val="24"/>
          <w:szCs w:val="24"/>
        </w:rPr>
        <w:t>）；</w:t>
      </w:r>
    </w:p>
    <w:p w:rsidR="00062C61" w:rsidRDefault="00210C7B">
      <w:pPr>
        <w:spacing w:line="360" w:lineRule="auto"/>
        <w:ind w:left="121" w:firstLineChars="200" w:firstLine="480"/>
        <w:jc w:val="left"/>
        <w:rPr>
          <w:rFonts w:asciiTheme="minorEastAsia" w:hAnsiTheme="minorEastAsia"/>
          <w:sz w:val="24"/>
          <w:szCs w:val="24"/>
        </w:rPr>
      </w:pPr>
      <w:r>
        <w:rPr>
          <w:rFonts w:asciiTheme="minorEastAsia" w:hAnsiTheme="minorEastAsia" w:hint="eastAsia"/>
          <w:sz w:val="24"/>
          <w:szCs w:val="24"/>
        </w:rPr>
        <w:t>太平日日鑫货币市场基金（基金简称：太平日日鑫；</w:t>
      </w:r>
      <w:r>
        <w:rPr>
          <w:rFonts w:asciiTheme="minorEastAsia" w:hAnsiTheme="minorEastAsia" w:hint="eastAsia"/>
          <w:sz w:val="24"/>
          <w:szCs w:val="24"/>
        </w:rPr>
        <w:t>A</w:t>
      </w:r>
      <w:r>
        <w:rPr>
          <w:rFonts w:asciiTheme="minorEastAsia" w:hAnsiTheme="minorEastAsia" w:hint="eastAsia"/>
          <w:sz w:val="24"/>
          <w:szCs w:val="24"/>
        </w:rPr>
        <w:t>类份额基金代码：</w:t>
      </w:r>
      <w:r>
        <w:rPr>
          <w:rFonts w:asciiTheme="minorEastAsia" w:hAnsiTheme="minorEastAsia" w:hint="eastAsia"/>
          <w:sz w:val="24"/>
          <w:szCs w:val="24"/>
        </w:rPr>
        <w:t>004330</w:t>
      </w:r>
      <w:r>
        <w:rPr>
          <w:rFonts w:asciiTheme="minorEastAsia" w:hAnsiTheme="minorEastAsia" w:hint="eastAsia"/>
          <w:sz w:val="24"/>
          <w:szCs w:val="24"/>
        </w:rPr>
        <w:t>，</w:t>
      </w:r>
      <w:r>
        <w:rPr>
          <w:rFonts w:asciiTheme="minorEastAsia" w:hAnsiTheme="minorEastAsia" w:hint="eastAsia"/>
          <w:sz w:val="24"/>
          <w:szCs w:val="24"/>
        </w:rPr>
        <w:t>B</w:t>
      </w:r>
      <w:r>
        <w:rPr>
          <w:rFonts w:asciiTheme="minorEastAsia" w:hAnsiTheme="minorEastAsia" w:hint="eastAsia"/>
          <w:sz w:val="24"/>
          <w:szCs w:val="24"/>
        </w:rPr>
        <w:t>类份额基金代码：</w:t>
      </w:r>
      <w:r>
        <w:rPr>
          <w:rFonts w:asciiTheme="minorEastAsia" w:hAnsiTheme="minorEastAsia" w:hint="eastAsia"/>
          <w:sz w:val="24"/>
          <w:szCs w:val="24"/>
        </w:rPr>
        <w:t>004331</w:t>
      </w:r>
      <w:r>
        <w:rPr>
          <w:rFonts w:asciiTheme="minorEastAsia" w:hAnsiTheme="minorEastAsia" w:hint="eastAsia"/>
          <w:sz w:val="24"/>
          <w:szCs w:val="24"/>
        </w:rPr>
        <w:t>）；</w:t>
      </w:r>
    </w:p>
    <w:p w:rsidR="00062C61" w:rsidRDefault="00210C7B">
      <w:pPr>
        <w:spacing w:line="360" w:lineRule="auto"/>
        <w:ind w:left="121" w:firstLineChars="200" w:firstLine="480"/>
        <w:jc w:val="left"/>
        <w:rPr>
          <w:rFonts w:asciiTheme="minorEastAsia" w:hAnsiTheme="minorEastAsia"/>
          <w:sz w:val="24"/>
          <w:szCs w:val="24"/>
        </w:rPr>
      </w:pPr>
      <w:r>
        <w:rPr>
          <w:rFonts w:asciiTheme="minorEastAsia" w:hAnsiTheme="minorEastAsia" w:hint="eastAsia"/>
          <w:sz w:val="24"/>
          <w:szCs w:val="24"/>
        </w:rPr>
        <w:t>太平恒安三个月定期开放债券型证券投资基金（基金简称：太平恒安三个月定开债；基金代码：</w:t>
      </w:r>
      <w:r>
        <w:rPr>
          <w:rFonts w:asciiTheme="minorEastAsia" w:hAnsiTheme="minorEastAsia" w:hint="eastAsia"/>
          <w:sz w:val="24"/>
          <w:szCs w:val="24"/>
        </w:rPr>
        <w:t>007545</w:t>
      </w:r>
      <w:r>
        <w:rPr>
          <w:rFonts w:asciiTheme="minorEastAsia" w:hAnsiTheme="minorEastAsia" w:hint="eastAsia"/>
          <w:sz w:val="24"/>
          <w:szCs w:val="24"/>
        </w:rPr>
        <w:t>）；</w:t>
      </w:r>
    </w:p>
    <w:p w:rsidR="00062C61" w:rsidRDefault="00210C7B">
      <w:pPr>
        <w:spacing w:line="360" w:lineRule="auto"/>
        <w:ind w:left="121" w:firstLineChars="200" w:firstLine="480"/>
        <w:jc w:val="left"/>
        <w:rPr>
          <w:rFonts w:asciiTheme="minorEastAsia" w:hAnsiTheme="minorEastAsia"/>
          <w:sz w:val="24"/>
          <w:szCs w:val="24"/>
        </w:rPr>
      </w:pPr>
      <w:r>
        <w:rPr>
          <w:rFonts w:asciiTheme="minorEastAsia" w:hAnsiTheme="minorEastAsia" w:hint="eastAsia"/>
          <w:sz w:val="24"/>
          <w:szCs w:val="24"/>
        </w:rPr>
        <w:t>太平中债</w:t>
      </w:r>
      <w:r>
        <w:rPr>
          <w:rFonts w:asciiTheme="minorEastAsia" w:hAnsiTheme="minorEastAsia" w:hint="eastAsia"/>
          <w:sz w:val="24"/>
          <w:szCs w:val="24"/>
        </w:rPr>
        <w:t>1-3</w:t>
      </w:r>
      <w:r>
        <w:rPr>
          <w:rFonts w:asciiTheme="minorEastAsia" w:hAnsiTheme="minorEastAsia" w:hint="eastAsia"/>
          <w:sz w:val="24"/>
          <w:szCs w:val="24"/>
        </w:rPr>
        <w:t>年政策性金融债指数证券投资基金（基金简称：太平中债</w:t>
      </w:r>
      <w:r>
        <w:rPr>
          <w:rFonts w:asciiTheme="minorEastAsia" w:hAnsiTheme="minorEastAsia" w:hint="eastAsia"/>
          <w:sz w:val="24"/>
          <w:szCs w:val="24"/>
        </w:rPr>
        <w:t>1-3</w:t>
      </w:r>
      <w:r>
        <w:rPr>
          <w:rFonts w:asciiTheme="minorEastAsia" w:hAnsiTheme="minorEastAsia" w:hint="eastAsia"/>
          <w:sz w:val="24"/>
          <w:szCs w:val="24"/>
        </w:rPr>
        <w:t>年政策性金融债；</w:t>
      </w:r>
      <w:r>
        <w:rPr>
          <w:rFonts w:asciiTheme="minorEastAsia" w:hAnsiTheme="minorEastAsia" w:hint="eastAsia"/>
          <w:sz w:val="24"/>
          <w:szCs w:val="24"/>
        </w:rPr>
        <w:t>A</w:t>
      </w:r>
      <w:r>
        <w:rPr>
          <w:rFonts w:asciiTheme="minorEastAsia" w:hAnsiTheme="minorEastAsia" w:hint="eastAsia"/>
          <w:sz w:val="24"/>
          <w:szCs w:val="24"/>
        </w:rPr>
        <w:t>类份额基金代码：</w:t>
      </w:r>
      <w:r>
        <w:rPr>
          <w:rFonts w:asciiTheme="minorEastAsia" w:hAnsiTheme="minorEastAsia" w:hint="eastAsia"/>
          <w:sz w:val="24"/>
          <w:szCs w:val="24"/>
        </w:rPr>
        <w:t>009087</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类份额基金代码：</w:t>
      </w:r>
      <w:r>
        <w:rPr>
          <w:rFonts w:asciiTheme="minorEastAsia" w:hAnsiTheme="minorEastAsia" w:hint="eastAsia"/>
          <w:sz w:val="24"/>
          <w:szCs w:val="24"/>
        </w:rPr>
        <w:t>009088</w:t>
      </w:r>
      <w:r>
        <w:rPr>
          <w:rFonts w:asciiTheme="minorEastAsia" w:hAnsiTheme="minorEastAsia" w:hint="eastAsia"/>
          <w:sz w:val="24"/>
          <w:szCs w:val="24"/>
        </w:rPr>
        <w:t>）；</w:t>
      </w:r>
    </w:p>
    <w:p w:rsidR="00062C61" w:rsidRDefault="00210C7B">
      <w:pPr>
        <w:spacing w:line="360" w:lineRule="auto"/>
        <w:ind w:left="121" w:firstLineChars="200" w:firstLine="480"/>
        <w:jc w:val="left"/>
        <w:rPr>
          <w:rFonts w:asciiTheme="minorEastAsia" w:hAnsiTheme="minorEastAsia"/>
          <w:sz w:val="24"/>
          <w:szCs w:val="24"/>
        </w:rPr>
      </w:pPr>
      <w:r>
        <w:rPr>
          <w:rFonts w:asciiTheme="minorEastAsia" w:hAnsiTheme="minorEastAsia" w:hint="eastAsia"/>
          <w:sz w:val="24"/>
          <w:szCs w:val="24"/>
        </w:rPr>
        <w:t>太平恒睿纯债债券型证券投资基</w:t>
      </w:r>
      <w:r>
        <w:rPr>
          <w:rFonts w:asciiTheme="minorEastAsia" w:hAnsiTheme="minorEastAsia" w:hint="eastAsia"/>
          <w:sz w:val="24"/>
          <w:szCs w:val="24"/>
        </w:rPr>
        <w:t>金（基金简称：太平恒睿纯债；基金代码：</w:t>
      </w:r>
      <w:r>
        <w:rPr>
          <w:rFonts w:asciiTheme="minorEastAsia" w:hAnsiTheme="minorEastAsia" w:hint="eastAsia"/>
          <w:sz w:val="24"/>
          <w:szCs w:val="24"/>
        </w:rPr>
        <w:t>009118</w:t>
      </w:r>
      <w:r>
        <w:rPr>
          <w:rFonts w:asciiTheme="minorEastAsia" w:hAnsiTheme="minorEastAsia" w:hint="eastAsia"/>
          <w:sz w:val="24"/>
          <w:szCs w:val="24"/>
        </w:rPr>
        <w:t>）；</w:t>
      </w:r>
    </w:p>
    <w:p w:rsidR="00D91912" w:rsidRDefault="00D91912" w:rsidP="00D91912">
      <w:pPr>
        <w:spacing w:line="360" w:lineRule="auto"/>
        <w:ind w:left="121" w:firstLineChars="200" w:firstLine="480"/>
        <w:jc w:val="left"/>
        <w:rPr>
          <w:rFonts w:asciiTheme="minorEastAsia" w:hAnsiTheme="minorEastAsia"/>
          <w:sz w:val="24"/>
          <w:szCs w:val="24"/>
        </w:rPr>
      </w:pPr>
      <w:r w:rsidRPr="00F21402">
        <w:rPr>
          <w:rFonts w:asciiTheme="minorEastAsia" w:hAnsiTheme="minorEastAsia" w:hint="eastAsia"/>
          <w:sz w:val="24"/>
          <w:szCs w:val="24"/>
        </w:rPr>
        <w:t>太平行业优选股票型证券投资基金（基金简称：太平行业优选；</w:t>
      </w:r>
      <w:r w:rsidRPr="00F21402">
        <w:rPr>
          <w:rFonts w:asciiTheme="minorEastAsia" w:hAnsiTheme="minorEastAsia"/>
          <w:sz w:val="24"/>
          <w:szCs w:val="24"/>
        </w:rPr>
        <w:t>A类份额基金代码：基金代码：009537，C类份额基金代码：009538）。</w:t>
      </w:r>
    </w:p>
    <w:p w:rsidR="00062C61" w:rsidRDefault="00210C7B">
      <w:pPr>
        <w:spacing w:line="360" w:lineRule="auto"/>
        <w:ind w:firstLine="601"/>
        <w:outlineLvl w:val="0"/>
        <w:rPr>
          <w:rFonts w:asciiTheme="minorEastAsia" w:hAnsiTheme="minorEastAsia"/>
          <w:sz w:val="24"/>
          <w:szCs w:val="24"/>
        </w:rPr>
      </w:pPr>
      <w:r>
        <w:rPr>
          <w:rFonts w:hint="eastAsia"/>
          <w:sz w:val="23"/>
          <w:szCs w:val="23"/>
        </w:rPr>
        <w:t>太平恒久纯债债券型证券投资基金（</w:t>
      </w:r>
      <w:r>
        <w:rPr>
          <w:sz w:val="23"/>
          <w:szCs w:val="23"/>
        </w:rPr>
        <w:t>基金</w:t>
      </w:r>
      <w:r>
        <w:rPr>
          <w:rFonts w:hint="eastAsia"/>
          <w:sz w:val="23"/>
          <w:szCs w:val="23"/>
        </w:rPr>
        <w:t>简称：太平恒久</w:t>
      </w:r>
      <w:r>
        <w:rPr>
          <w:sz w:val="23"/>
          <w:szCs w:val="23"/>
        </w:rPr>
        <w:t>纯债</w:t>
      </w:r>
      <w:r>
        <w:rPr>
          <w:rFonts w:hint="eastAsia"/>
          <w:sz w:val="23"/>
          <w:szCs w:val="23"/>
        </w:rPr>
        <w:t>；基金代码；</w:t>
      </w:r>
      <w:r>
        <w:rPr>
          <w:rFonts w:hint="eastAsia"/>
          <w:sz w:val="23"/>
          <w:szCs w:val="23"/>
        </w:rPr>
        <w:t xml:space="preserve"> </w:t>
      </w:r>
      <w:r>
        <w:rPr>
          <w:rFonts w:asciiTheme="minorEastAsia" w:hAnsiTheme="minorEastAsia" w:hint="eastAsia"/>
          <w:sz w:val="24"/>
          <w:szCs w:val="24"/>
        </w:rPr>
        <w:t>010476</w:t>
      </w:r>
      <w:r>
        <w:rPr>
          <w:rFonts w:asciiTheme="minorEastAsia" w:hAnsiTheme="minorEastAsia" w:hint="eastAsia"/>
          <w:sz w:val="24"/>
          <w:szCs w:val="24"/>
        </w:rPr>
        <w:t>）；</w:t>
      </w:r>
    </w:p>
    <w:p w:rsidR="00062C61" w:rsidRDefault="00210C7B">
      <w:pPr>
        <w:spacing w:line="360" w:lineRule="auto"/>
        <w:ind w:firstLine="601"/>
        <w:outlineLvl w:val="0"/>
        <w:rPr>
          <w:rFonts w:asciiTheme="minorEastAsia" w:hAnsiTheme="minorEastAsia"/>
          <w:sz w:val="24"/>
          <w:szCs w:val="24"/>
        </w:rPr>
      </w:pPr>
      <w:r>
        <w:rPr>
          <w:rFonts w:hint="eastAsia"/>
          <w:sz w:val="23"/>
          <w:szCs w:val="23"/>
        </w:rPr>
        <w:t>太平恒兴纯债债券型证券投资基金</w:t>
      </w:r>
      <w:r>
        <w:rPr>
          <w:sz w:val="23"/>
          <w:szCs w:val="23"/>
        </w:rPr>
        <w:t>（基金简称：太平恒</w:t>
      </w:r>
      <w:r>
        <w:rPr>
          <w:rFonts w:hint="eastAsia"/>
          <w:sz w:val="23"/>
          <w:szCs w:val="23"/>
        </w:rPr>
        <w:t>兴</w:t>
      </w:r>
      <w:r>
        <w:rPr>
          <w:sz w:val="23"/>
          <w:szCs w:val="23"/>
        </w:rPr>
        <w:t>纯债；基金代码：</w:t>
      </w:r>
      <w:r>
        <w:rPr>
          <w:rFonts w:asciiTheme="minorEastAsia" w:hAnsiTheme="minorEastAsia"/>
          <w:sz w:val="24"/>
          <w:szCs w:val="24"/>
        </w:rPr>
        <w:t>01</w:t>
      </w:r>
      <w:r>
        <w:rPr>
          <w:rFonts w:asciiTheme="minorEastAsia" w:hAnsiTheme="minorEastAsia" w:hint="eastAsia"/>
          <w:sz w:val="24"/>
          <w:szCs w:val="24"/>
        </w:rPr>
        <w:t>4055</w:t>
      </w:r>
      <w:r>
        <w:rPr>
          <w:rFonts w:asciiTheme="minorEastAsia" w:hAnsiTheme="minorEastAsia"/>
          <w:sz w:val="24"/>
          <w:szCs w:val="24"/>
        </w:rPr>
        <w:t>）</w:t>
      </w:r>
      <w:r>
        <w:rPr>
          <w:rFonts w:asciiTheme="minorEastAsia" w:hAnsiTheme="minorEastAsia" w:hint="eastAsia"/>
          <w:sz w:val="24"/>
          <w:szCs w:val="24"/>
        </w:rPr>
        <w:t>；</w:t>
      </w:r>
    </w:p>
    <w:p w:rsidR="00062C61" w:rsidRDefault="00210C7B">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太平中证</w:t>
      </w:r>
      <w:r>
        <w:rPr>
          <w:rFonts w:asciiTheme="minorEastAsia" w:hAnsiTheme="minorEastAsia" w:hint="eastAsia"/>
          <w:sz w:val="24"/>
          <w:szCs w:val="24"/>
        </w:rPr>
        <w:t>1000</w:t>
      </w:r>
      <w:r>
        <w:rPr>
          <w:rFonts w:asciiTheme="minorEastAsia" w:hAnsiTheme="minorEastAsia" w:hint="eastAsia"/>
          <w:sz w:val="24"/>
          <w:szCs w:val="24"/>
        </w:rPr>
        <w:t>指数增强型证券投资基金（基金简称：太平中证</w:t>
      </w:r>
      <w:r>
        <w:rPr>
          <w:rFonts w:asciiTheme="minorEastAsia" w:hAnsiTheme="minorEastAsia" w:hint="eastAsia"/>
          <w:sz w:val="24"/>
          <w:szCs w:val="24"/>
        </w:rPr>
        <w:t>1000</w:t>
      </w:r>
      <w:r>
        <w:rPr>
          <w:rFonts w:asciiTheme="minorEastAsia" w:hAnsiTheme="minorEastAsia" w:hint="eastAsia"/>
          <w:sz w:val="24"/>
          <w:szCs w:val="24"/>
        </w:rPr>
        <w:t>指数增强；</w:t>
      </w:r>
      <w:r>
        <w:rPr>
          <w:rFonts w:asciiTheme="minorEastAsia" w:hAnsiTheme="minorEastAsia" w:hint="eastAsia"/>
          <w:sz w:val="24"/>
          <w:szCs w:val="24"/>
        </w:rPr>
        <w:t>A</w:t>
      </w:r>
      <w:r>
        <w:rPr>
          <w:rFonts w:asciiTheme="minorEastAsia" w:hAnsiTheme="minorEastAsia" w:hint="eastAsia"/>
          <w:sz w:val="24"/>
          <w:szCs w:val="24"/>
        </w:rPr>
        <w:t>类份额基金代码：</w:t>
      </w:r>
      <w:r>
        <w:rPr>
          <w:rFonts w:asciiTheme="minorEastAsia" w:hAnsiTheme="minorEastAsia"/>
          <w:sz w:val="24"/>
          <w:szCs w:val="24"/>
        </w:rPr>
        <w:t>015466</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类份额基金代码：</w:t>
      </w:r>
      <w:r>
        <w:rPr>
          <w:rFonts w:asciiTheme="minorEastAsia" w:hAnsiTheme="minorEastAsia"/>
          <w:sz w:val="24"/>
          <w:szCs w:val="24"/>
        </w:rPr>
        <w:t>015467</w:t>
      </w:r>
      <w:r>
        <w:rPr>
          <w:rFonts w:asciiTheme="minorEastAsia" w:hAnsiTheme="minorEastAsia" w:hint="eastAsia"/>
          <w:sz w:val="24"/>
          <w:szCs w:val="24"/>
        </w:rPr>
        <w:t>）</w:t>
      </w:r>
    </w:p>
    <w:p w:rsidR="00062C61" w:rsidRDefault="00210C7B">
      <w:pPr>
        <w:spacing w:line="360" w:lineRule="auto"/>
        <w:ind w:left="121" w:firstLineChars="200" w:firstLine="480"/>
        <w:jc w:val="left"/>
        <w:rPr>
          <w:rFonts w:asciiTheme="minorEastAsia" w:hAnsiTheme="minorEastAsia"/>
          <w:sz w:val="24"/>
          <w:szCs w:val="24"/>
        </w:rPr>
      </w:pPr>
      <w:r>
        <w:rPr>
          <w:rFonts w:asciiTheme="minorEastAsia" w:hAnsiTheme="minorEastAsia" w:hint="eastAsia"/>
          <w:sz w:val="24"/>
          <w:szCs w:val="24"/>
        </w:rPr>
        <w:t>太平嘉和三</w:t>
      </w:r>
      <w:r>
        <w:rPr>
          <w:rFonts w:asciiTheme="minorEastAsia" w:hAnsiTheme="minorEastAsia" w:hint="eastAsia"/>
          <w:sz w:val="24"/>
          <w:szCs w:val="24"/>
        </w:rPr>
        <w:t>个月定开债券发起式证券投资基金（基金简称：太平嘉和三个月定开债；基金代码：</w:t>
      </w:r>
      <w:r>
        <w:rPr>
          <w:rFonts w:asciiTheme="minorEastAsia" w:hAnsiTheme="minorEastAsia"/>
          <w:sz w:val="24"/>
          <w:szCs w:val="24"/>
        </w:rPr>
        <w:t>015959</w:t>
      </w:r>
      <w:r>
        <w:rPr>
          <w:rFonts w:asciiTheme="minorEastAsia" w:hAnsiTheme="minorEastAsia" w:hint="eastAsia"/>
          <w:sz w:val="24"/>
          <w:szCs w:val="24"/>
        </w:rPr>
        <w:t>）；</w:t>
      </w:r>
    </w:p>
    <w:p w:rsidR="00062C61" w:rsidRDefault="00210C7B">
      <w:pPr>
        <w:spacing w:line="360" w:lineRule="auto"/>
        <w:ind w:left="121" w:firstLineChars="200" w:firstLine="480"/>
        <w:jc w:val="left"/>
        <w:rPr>
          <w:rFonts w:asciiTheme="minorEastAsia" w:hAnsiTheme="minorEastAsia"/>
          <w:sz w:val="24"/>
          <w:szCs w:val="24"/>
        </w:rPr>
      </w:pPr>
      <w:r>
        <w:rPr>
          <w:rFonts w:asciiTheme="minorEastAsia" w:hAnsiTheme="minorEastAsia" w:hint="eastAsia"/>
          <w:sz w:val="24"/>
          <w:szCs w:val="24"/>
        </w:rPr>
        <w:t>太平恒信</w:t>
      </w:r>
      <w:r>
        <w:rPr>
          <w:rFonts w:asciiTheme="minorEastAsia" w:hAnsiTheme="minorEastAsia" w:hint="eastAsia"/>
          <w:sz w:val="24"/>
          <w:szCs w:val="24"/>
        </w:rPr>
        <w:t>6</w:t>
      </w:r>
      <w:r>
        <w:rPr>
          <w:rFonts w:asciiTheme="minorEastAsia" w:hAnsiTheme="minorEastAsia" w:hint="eastAsia"/>
          <w:sz w:val="24"/>
          <w:szCs w:val="24"/>
        </w:rPr>
        <w:t>个月定期开放债券型证券投资基金（基金简称：太平恒信</w:t>
      </w:r>
      <w:r>
        <w:rPr>
          <w:rFonts w:asciiTheme="minorEastAsia" w:hAnsiTheme="minorEastAsia" w:hint="eastAsia"/>
          <w:sz w:val="24"/>
          <w:szCs w:val="24"/>
        </w:rPr>
        <w:t>6</w:t>
      </w:r>
      <w:r>
        <w:rPr>
          <w:rFonts w:asciiTheme="minorEastAsia" w:hAnsiTheme="minorEastAsia" w:hint="eastAsia"/>
          <w:sz w:val="24"/>
          <w:szCs w:val="24"/>
        </w:rPr>
        <w:t>个</w:t>
      </w:r>
      <w:r>
        <w:rPr>
          <w:rFonts w:asciiTheme="minorEastAsia" w:hAnsiTheme="minorEastAsia" w:hint="eastAsia"/>
          <w:sz w:val="24"/>
          <w:szCs w:val="24"/>
        </w:rPr>
        <w:lastRenderedPageBreak/>
        <w:t>月定开债；基金代码：</w:t>
      </w:r>
      <w:r>
        <w:rPr>
          <w:rFonts w:asciiTheme="minorEastAsia" w:hAnsiTheme="minorEastAsia" w:hint="eastAsia"/>
          <w:sz w:val="24"/>
          <w:szCs w:val="24"/>
        </w:rPr>
        <w:t>015961</w:t>
      </w:r>
      <w:r>
        <w:rPr>
          <w:rFonts w:asciiTheme="minorEastAsia" w:hAnsiTheme="minorEastAsia" w:hint="eastAsia"/>
          <w:sz w:val="24"/>
          <w:szCs w:val="24"/>
        </w:rPr>
        <w:t>）；</w:t>
      </w:r>
    </w:p>
    <w:p w:rsidR="00062C61" w:rsidRDefault="00210C7B">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太平中证同业存单</w:t>
      </w:r>
      <w:r>
        <w:rPr>
          <w:rFonts w:asciiTheme="minorEastAsia" w:hAnsiTheme="minorEastAsia" w:hint="eastAsia"/>
          <w:sz w:val="24"/>
          <w:szCs w:val="24"/>
        </w:rPr>
        <w:t>AAA</w:t>
      </w:r>
      <w:r>
        <w:rPr>
          <w:rFonts w:asciiTheme="minorEastAsia" w:hAnsiTheme="minorEastAsia" w:hint="eastAsia"/>
          <w:sz w:val="24"/>
          <w:szCs w:val="24"/>
        </w:rPr>
        <w:t>指数</w:t>
      </w:r>
      <w:r>
        <w:rPr>
          <w:rFonts w:asciiTheme="minorEastAsia" w:hAnsiTheme="minorEastAsia" w:hint="eastAsia"/>
          <w:sz w:val="24"/>
          <w:szCs w:val="24"/>
        </w:rPr>
        <w:t>7</w:t>
      </w:r>
      <w:r>
        <w:rPr>
          <w:rFonts w:asciiTheme="minorEastAsia" w:hAnsiTheme="minorEastAsia" w:hint="eastAsia"/>
          <w:sz w:val="24"/>
          <w:szCs w:val="24"/>
        </w:rPr>
        <w:t>天持有期证券投资基金（基金简称：太平中证同业存单</w:t>
      </w:r>
      <w:r>
        <w:rPr>
          <w:rFonts w:asciiTheme="minorEastAsia" w:hAnsiTheme="minorEastAsia" w:hint="eastAsia"/>
          <w:sz w:val="24"/>
          <w:szCs w:val="24"/>
        </w:rPr>
        <w:t>AAA</w:t>
      </w:r>
      <w:r>
        <w:rPr>
          <w:rFonts w:asciiTheme="minorEastAsia" w:hAnsiTheme="minorEastAsia" w:hint="eastAsia"/>
          <w:sz w:val="24"/>
          <w:szCs w:val="24"/>
        </w:rPr>
        <w:t>指数</w:t>
      </w:r>
      <w:r>
        <w:rPr>
          <w:rFonts w:asciiTheme="minorEastAsia" w:hAnsiTheme="minorEastAsia" w:hint="eastAsia"/>
          <w:sz w:val="24"/>
          <w:szCs w:val="24"/>
        </w:rPr>
        <w:t>7</w:t>
      </w:r>
      <w:r>
        <w:rPr>
          <w:rFonts w:asciiTheme="minorEastAsia" w:hAnsiTheme="minorEastAsia" w:hint="eastAsia"/>
          <w:sz w:val="24"/>
          <w:szCs w:val="24"/>
        </w:rPr>
        <w:t>天持有；基金份额代码：</w:t>
      </w:r>
      <w:r>
        <w:rPr>
          <w:rFonts w:asciiTheme="minorEastAsia" w:hAnsiTheme="minorEastAsia"/>
          <w:sz w:val="24"/>
          <w:szCs w:val="24"/>
        </w:rPr>
        <w:t>017563</w:t>
      </w:r>
      <w:r>
        <w:rPr>
          <w:rFonts w:asciiTheme="minorEastAsia" w:hAnsiTheme="minorEastAsia" w:hint="eastAsia"/>
          <w:sz w:val="24"/>
          <w:szCs w:val="24"/>
        </w:rPr>
        <w:t>）；</w:t>
      </w:r>
    </w:p>
    <w:p w:rsidR="00062C61" w:rsidRDefault="00210C7B">
      <w:pPr>
        <w:spacing w:line="360" w:lineRule="auto"/>
        <w:ind w:left="121" w:firstLineChars="200" w:firstLine="480"/>
        <w:jc w:val="left"/>
        <w:rPr>
          <w:rFonts w:asciiTheme="minorEastAsia" w:hAnsiTheme="minorEastAsia"/>
          <w:sz w:val="24"/>
          <w:szCs w:val="24"/>
        </w:rPr>
      </w:pPr>
      <w:r>
        <w:rPr>
          <w:rFonts w:asciiTheme="minorEastAsia" w:hAnsiTheme="minorEastAsia" w:hint="eastAsia"/>
          <w:sz w:val="24"/>
          <w:szCs w:val="24"/>
        </w:rPr>
        <w:t>太平恒泰三个月定开债券发起式证券投资基金（基金简称：太平恒泰三个月定开债；</w:t>
      </w:r>
      <w:r w:rsidR="00F71741">
        <w:rPr>
          <w:rFonts w:asciiTheme="minorEastAsia" w:hAnsiTheme="minorEastAsia" w:hint="eastAsia"/>
          <w:sz w:val="24"/>
          <w:szCs w:val="24"/>
        </w:rPr>
        <w:t>A类份额基金代码：</w:t>
      </w:r>
      <w:r>
        <w:rPr>
          <w:rFonts w:asciiTheme="minorEastAsia" w:hAnsiTheme="minorEastAsia" w:hint="eastAsia"/>
          <w:sz w:val="24"/>
          <w:szCs w:val="24"/>
        </w:rPr>
        <w:t>基金代码：</w:t>
      </w:r>
      <w:r>
        <w:rPr>
          <w:rFonts w:asciiTheme="minorEastAsia" w:hAnsiTheme="minorEastAsia"/>
          <w:sz w:val="24"/>
          <w:szCs w:val="24"/>
        </w:rPr>
        <w:t>018100</w:t>
      </w:r>
      <w:r w:rsidR="00F71741">
        <w:rPr>
          <w:rFonts w:asciiTheme="minorEastAsia" w:hAnsiTheme="minorEastAsia"/>
          <w:sz w:val="24"/>
          <w:szCs w:val="24"/>
        </w:rPr>
        <w:t>,</w:t>
      </w:r>
      <w:r w:rsidR="00F71741" w:rsidRPr="00F71741">
        <w:rPr>
          <w:rFonts w:asciiTheme="minorEastAsia" w:hAnsiTheme="minorEastAsia" w:hint="eastAsia"/>
          <w:sz w:val="24"/>
          <w:szCs w:val="24"/>
        </w:rPr>
        <w:t>C类份额基金代码：0</w:t>
      </w:r>
      <w:r w:rsidR="00F71741">
        <w:rPr>
          <w:rFonts w:asciiTheme="minorEastAsia" w:hAnsiTheme="minorEastAsia"/>
          <w:sz w:val="24"/>
          <w:szCs w:val="24"/>
        </w:rPr>
        <w:t>20596</w:t>
      </w:r>
      <w:r>
        <w:rPr>
          <w:rFonts w:asciiTheme="minorEastAsia" w:hAnsiTheme="minorEastAsia" w:hint="eastAsia"/>
          <w:sz w:val="24"/>
          <w:szCs w:val="24"/>
        </w:rPr>
        <w:t>）。</w:t>
      </w:r>
    </w:p>
    <w:p w:rsidR="00062C61" w:rsidRDefault="00210C7B">
      <w:pPr>
        <w:spacing w:line="360" w:lineRule="auto"/>
        <w:ind w:left="121" w:firstLineChars="200" w:firstLine="480"/>
        <w:jc w:val="left"/>
        <w:rPr>
          <w:rFonts w:asciiTheme="minorEastAsia" w:hAnsiTheme="minorEastAsia"/>
          <w:sz w:val="24"/>
          <w:szCs w:val="24"/>
        </w:rPr>
      </w:pPr>
      <w:r>
        <w:rPr>
          <w:rFonts w:asciiTheme="minorEastAsia" w:hAnsiTheme="minorEastAsia" w:hint="eastAsia"/>
          <w:sz w:val="24"/>
          <w:szCs w:val="24"/>
        </w:rPr>
        <w:t>现就有关事项公告如下：</w:t>
      </w:r>
    </w:p>
    <w:p w:rsidR="00062C61" w:rsidRDefault="00062C61">
      <w:pPr>
        <w:spacing w:line="360" w:lineRule="auto"/>
        <w:ind w:left="121" w:firstLineChars="200" w:firstLine="480"/>
        <w:jc w:val="left"/>
        <w:rPr>
          <w:rFonts w:asciiTheme="minorEastAsia" w:hAnsiTheme="minorEastAsia"/>
          <w:sz w:val="24"/>
          <w:szCs w:val="24"/>
        </w:rPr>
      </w:pPr>
    </w:p>
    <w:p w:rsidR="00062C61" w:rsidRDefault="00210C7B">
      <w:pPr>
        <w:spacing w:line="360" w:lineRule="auto"/>
        <w:rPr>
          <w:rFonts w:asciiTheme="minorEastAsia" w:hAnsiTheme="minorEastAsia"/>
          <w:b/>
          <w:sz w:val="24"/>
          <w:szCs w:val="24"/>
        </w:rPr>
      </w:pPr>
      <w:r>
        <w:rPr>
          <w:rFonts w:asciiTheme="minorEastAsia" w:hAnsiTheme="minorEastAsia" w:hint="eastAsia"/>
          <w:b/>
          <w:sz w:val="24"/>
          <w:szCs w:val="24"/>
        </w:rPr>
        <w:t>一、适用业务</w:t>
      </w:r>
      <w:r>
        <w:rPr>
          <w:rFonts w:asciiTheme="minorEastAsia" w:hAnsiTheme="minorEastAsia" w:hint="eastAsia"/>
          <w:b/>
          <w:sz w:val="24"/>
          <w:szCs w:val="24"/>
        </w:rPr>
        <w:t>范围</w:t>
      </w:r>
    </w:p>
    <w:p w:rsidR="00062C61" w:rsidRDefault="00210C7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202</w:t>
      </w:r>
      <w:r>
        <w:rPr>
          <w:rFonts w:asciiTheme="minorEastAsia" w:hAnsiTheme="minorEastAsia"/>
          <w:sz w:val="24"/>
          <w:szCs w:val="24"/>
        </w:rPr>
        <w:t>4</w:t>
      </w:r>
      <w:r>
        <w:rPr>
          <w:rFonts w:asciiTheme="minorEastAsia" w:hAnsiTheme="minorEastAsia" w:hint="eastAsia"/>
          <w:sz w:val="24"/>
          <w:szCs w:val="24"/>
        </w:rPr>
        <w:t>年</w:t>
      </w:r>
      <w:r w:rsidR="00D91912">
        <w:rPr>
          <w:rFonts w:asciiTheme="minorEastAsia" w:hAnsiTheme="minorEastAsia"/>
          <w:sz w:val="24"/>
          <w:szCs w:val="24"/>
        </w:rPr>
        <w:t>3</w:t>
      </w:r>
      <w:r>
        <w:rPr>
          <w:rFonts w:asciiTheme="minorEastAsia" w:hAnsiTheme="minorEastAsia" w:hint="eastAsia"/>
          <w:sz w:val="24"/>
          <w:szCs w:val="24"/>
        </w:rPr>
        <w:t>月</w:t>
      </w:r>
      <w:r w:rsidR="00D91912">
        <w:rPr>
          <w:rFonts w:asciiTheme="minorEastAsia" w:hAnsiTheme="minorEastAsia"/>
          <w:sz w:val="24"/>
          <w:szCs w:val="24"/>
        </w:rPr>
        <w:t>14</w:t>
      </w:r>
      <w:r>
        <w:rPr>
          <w:rFonts w:asciiTheme="minorEastAsia" w:hAnsiTheme="minorEastAsia" w:hint="eastAsia"/>
          <w:sz w:val="24"/>
          <w:szCs w:val="24"/>
        </w:rPr>
        <w:t>日起，投资者可通过</w:t>
      </w:r>
      <w:r w:rsidR="006E1655">
        <w:rPr>
          <w:rFonts w:asciiTheme="minorEastAsia" w:hAnsiTheme="minorEastAsia" w:hint="eastAsia"/>
          <w:sz w:val="24"/>
          <w:szCs w:val="24"/>
        </w:rPr>
        <w:t>国金证券</w:t>
      </w:r>
      <w:r>
        <w:rPr>
          <w:rFonts w:asciiTheme="minorEastAsia" w:hAnsiTheme="minorEastAsia" w:hint="eastAsia"/>
          <w:sz w:val="24"/>
          <w:szCs w:val="24"/>
        </w:rPr>
        <w:t>相关渠道办理太平日日金、太平日日鑫、太平恒安三个月定开债、太平中债</w:t>
      </w:r>
      <w:r>
        <w:rPr>
          <w:rFonts w:asciiTheme="minorEastAsia" w:hAnsiTheme="minorEastAsia" w:hint="eastAsia"/>
          <w:sz w:val="24"/>
          <w:szCs w:val="24"/>
        </w:rPr>
        <w:t>1-3</w:t>
      </w:r>
      <w:r>
        <w:rPr>
          <w:rFonts w:asciiTheme="minorEastAsia" w:hAnsiTheme="minorEastAsia" w:hint="eastAsia"/>
          <w:sz w:val="24"/>
          <w:szCs w:val="24"/>
        </w:rPr>
        <w:t>年政策性金融债、太平恒睿纯债、</w:t>
      </w:r>
      <w:r w:rsidR="00D91912" w:rsidRPr="00F21402">
        <w:rPr>
          <w:rFonts w:asciiTheme="minorEastAsia" w:hAnsiTheme="minorEastAsia" w:hint="eastAsia"/>
          <w:sz w:val="24"/>
          <w:szCs w:val="24"/>
        </w:rPr>
        <w:t>太平行业优选</w:t>
      </w:r>
      <w:r w:rsidR="00D91912">
        <w:rPr>
          <w:rFonts w:asciiTheme="minorEastAsia" w:hAnsiTheme="minorEastAsia" w:hint="eastAsia"/>
          <w:sz w:val="24"/>
          <w:szCs w:val="24"/>
        </w:rPr>
        <w:t>、</w:t>
      </w:r>
      <w:r>
        <w:rPr>
          <w:rFonts w:hint="eastAsia"/>
          <w:sz w:val="23"/>
          <w:szCs w:val="23"/>
        </w:rPr>
        <w:t>太平恒久</w:t>
      </w:r>
      <w:r>
        <w:rPr>
          <w:sz w:val="23"/>
          <w:szCs w:val="23"/>
        </w:rPr>
        <w:t>纯债</w:t>
      </w:r>
      <w:r>
        <w:rPr>
          <w:rFonts w:hint="eastAsia"/>
          <w:sz w:val="23"/>
          <w:szCs w:val="23"/>
        </w:rPr>
        <w:t>、</w:t>
      </w:r>
      <w:r>
        <w:rPr>
          <w:sz w:val="23"/>
          <w:szCs w:val="23"/>
        </w:rPr>
        <w:t>太平恒</w:t>
      </w:r>
      <w:r>
        <w:rPr>
          <w:rFonts w:hint="eastAsia"/>
          <w:sz w:val="23"/>
          <w:szCs w:val="23"/>
        </w:rPr>
        <w:t>兴</w:t>
      </w:r>
      <w:r>
        <w:rPr>
          <w:sz w:val="23"/>
          <w:szCs w:val="23"/>
        </w:rPr>
        <w:t>纯债</w:t>
      </w:r>
      <w:r>
        <w:rPr>
          <w:rFonts w:hint="eastAsia"/>
          <w:sz w:val="23"/>
          <w:szCs w:val="23"/>
        </w:rPr>
        <w:t>、</w:t>
      </w:r>
      <w:r>
        <w:rPr>
          <w:rFonts w:asciiTheme="minorEastAsia" w:hAnsiTheme="minorEastAsia" w:hint="eastAsia"/>
          <w:sz w:val="24"/>
          <w:szCs w:val="24"/>
        </w:rPr>
        <w:t>太平中证</w:t>
      </w:r>
      <w:r>
        <w:rPr>
          <w:rFonts w:asciiTheme="minorEastAsia" w:hAnsiTheme="minorEastAsia" w:hint="eastAsia"/>
          <w:sz w:val="24"/>
          <w:szCs w:val="24"/>
        </w:rPr>
        <w:t>1000</w:t>
      </w:r>
      <w:r>
        <w:rPr>
          <w:rFonts w:asciiTheme="minorEastAsia" w:hAnsiTheme="minorEastAsia" w:hint="eastAsia"/>
          <w:sz w:val="24"/>
          <w:szCs w:val="24"/>
        </w:rPr>
        <w:t>指数增强、太平嘉和三个月定开债、太平恒信</w:t>
      </w:r>
      <w:r>
        <w:rPr>
          <w:rFonts w:asciiTheme="minorEastAsia" w:hAnsiTheme="minorEastAsia" w:hint="eastAsia"/>
          <w:sz w:val="24"/>
          <w:szCs w:val="24"/>
        </w:rPr>
        <w:t>6</w:t>
      </w:r>
      <w:r>
        <w:rPr>
          <w:rFonts w:asciiTheme="minorEastAsia" w:hAnsiTheme="minorEastAsia" w:hint="eastAsia"/>
          <w:sz w:val="24"/>
          <w:szCs w:val="24"/>
        </w:rPr>
        <w:t>个月定开债、太平中证同业存单</w:t>
      </w:r>
      <w:r>
        <w:rPr>
          <w:rFonts w:asciiTheme="minorEastAsia" w:hAnsiTheme="minorEastAsia" w:hint="eastAsia"/>
          <w:sz w:val="24"/>
          <w:szCs w:val="24"/>
        </w:rPr>
        <w:t>AAA</w:t>
      </w:r>
      <w:r>
        <w:rPr>
          <w:rFonts w:asciiTheme="minorEastAsia" w:hAnsiTheme="minorEastAsia" w:hint="eastAsia"/>
          <w:sz w:val="24"/>
          <w:szCs w:val="24"/>
        </w:rPr>
        <w:t>指数</w:t>
      </w:r>
      <w:r>
        <w:rPr>
          <w:rFonts w:asciiTheme="minorEastAsia" w:hAnsiTheme="minorEastAsia" w:hint="eastAsia"/>
          <w:sz w:val="24"/>
          <w:szCs w:val="24"/>
        </w:rPr>
        <w:t>7</w:t>
      </w:r>
      <w:r>
        <w:rPr>
          <w:rFonts w:asciiTheme="minorEastAsia" w:hAnsiTheme="minorEastAsia" w:hint="eastAsia"/>
          <w:sz w:val="24"/>
          <w:szCs w:val="24"/>
        </w:rPr>
        <w:t>天持有、太平恒泰三个月定开债的认购、申购、赎回、转换等相关销售业务。</w:t>
      </w:r>
    </w:p>
    <w:p w:rsidR="00062C61" w:rsidRDefault="00062C61">
      <w:pPr>
        <w:spacing w:line="360" w:lineRule="auto"/>
        <w:rPr>
          <w:rFonts w:asciiTheme="minorEastAsia" w:hAnsiTheme="minorEastAsia"/>
          <w:sz w:val="24"/>
          <w:szCs w:val="24"/>
        </w:rPr>
      </w:pPr>
    </w:p>
    <w:p w:rsidR="00062C61" w:rsidRDefault="00210C7B">
      <w:pPr>
        <w:spacing w:line="360" w:lineRule="auto"/>
        <w:rPr>
          <w:rFonts w:asciiTheme="minorEastAsia" w:hAnsiTheme="minorEastAsia"/>
          <w:b/>
          <w:sz w:val="24"/>
          <w:szCs w:val="24"/>
        </w:rPr>
      </w:pPr>
      <w:r>
        <w:rPr>
          <w:rFonts w:asciiTheme="minorEastAsia" w:hAnsiTheme="minorEastAsia" w:hint="eastAsia"/>
          <w:b/>
          <w:sz w:val="24"/>
          <w:szCs w:val="24"/>
        </w:rPr>
        <w:t>二、基金转换业务及其规则</w:t>
      </w:r>
    </w:p>
    <w:p w:rsidR="00062C61" w:rsidRDefault="00210C7B">
      <w:pPr>
        <w:spacing w:line="360" w:lineRule="auto"/>
        <w:ind w:firstLineChars="200" w:firstLine="480"/>
        <w:rPr>
          <w:rFonts w:asciiTheme="minorEastAsia" w:hAnsiTheme="minorEastAsia"/>
          <w:sz w:val="24"/>
          <w:szCs w:val="24"/>
        </w:rPr>
      </w:pPr>
      <w:r>
        <w:rPr>
          <w:rFonts w:asciiTheme="minorEastAsia" w:hAnsiTheme="minorEastAsia"/>
          <w:sz w:val="24"/>
          <w:szCs w:val="24"/>
        </w:rPr>
        <w:t>基金转换是指开放式基金份额持有人将其持有某只基金的部分或全部份额转换为同一基金管理人管理的另一只开放式基金份额。基金转换只</w:t>
      </w:r>
      <w:r>
        <w:rPr>
          <w:rFonts w:asciiTheme="minorEastAsia" w:hAnsiTheme="minorEastAsia"/>
          <w:sz w:val="24"/>
          <w:szCs w:val="24"/>
        </w:rPr>
        <w:t>能在同一销售机构进行。转换的两只基金必须都是该销售机构代理的同一基金管理人管理的、在同一注册登记机构处注册登记的、同一收费模式的开放式基金。</w:t>
      </w:r>
    </w:p>
    <w:p w:rsidR="00062C61" w:rsidRDefault="00210C7B">
      <w:pPr>
        <w:spacing w:line="360" w:lineRule="auto"/>
        <w:ind w:firstLineChars="196" w:firstLine="472"/>
        <w:rPr>
          <w:b/>
          <w:sz w:val="24"/>
        </w:rPr>
      </w:pPr>
      <w:r>
        <w:rPr>
          <w:rFonts w:ascii="宋体" w:hAnsi="宋体"/>
          <w:b/>
          <w:bCs/>
          <w:sz w:val="24"/>
        </w:rPr>
        <w:t>1</w:t>
      </w:r>
      <w:r>
        <w:rPr>
          <w:rFonts w:ascii="宋体" w:hAnsi="宋体" w:hint="eastAsia"/>
          <w:b/>
          <w:bCs/>
          <w:sz w:val="24"/>
        </w:rPr>
        <w:t>、</w:t>
      </w:r>
      <w:r>
        <w:rPr>
          <w:rFonts w:ascii="宋体" w:hAnsi="宋体"/>
          <w:b/>
          <w:bCs/>
          <w:sz w:val="24"/>
        </w:rPr>
        <w:t>转换费率</w:t>
      </w:r>
    </w:p>
    <w:p w:rsidR="00062C61" w:rsidRDefault="00210C7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基金转换费用由补差费和转出费两部分构成，具体收取情况视每次转换时两只基金的申购费率差异情况和转出基金的赎回费率而定。</w:t>
      </w:r>
    </w:p>
    <w:p w:rsidR="00062C61" w:rsidRDefault="00210C7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基金转换费用的具体计算公式如下：</w:t>
      </w:r>
    </w:p>
    <w:p w:rsidR="00062C61" w:rsidRDefault="00210C7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w:t>
      </w:r>
      <w:r>
        <w:rPr>
          <w:rFonts w:asciiTheme="minorEastAsia" w:hAnsiTheme="minorEastAsia" w:hint="eastAsia"/>
          <w:sz w:val="24"/>
          <w:szCs w:val="24"/>
        </w:rPr>
        <w:t>）转换费用</w:t>
      </w:r>
      <w:r>
        <w:rPr>
          <w:rFonts w:asciiTheme="minorEastAsia" w:hAnsiTheme="minorEastAsia" w:hint="eastAsia"/>
          <w:sz w:val="24"/>
          <w:szCs w:val="24"/>
        </w:rPr>
        <w:t>=</w:t>
      </w:r>
      <w:r>
        <w:rPr>
          <w:rFonts w:asciiTheme="minorEastAsia" w:hAnsiTheme="minorEastAsia" w:hint="eastAsia"/>
          <w:sz w:val="24"/>
          <w:szCs w:val="24"/>
        </w:rPr>
        <w:t>转出费</w:t>
      </w:r>
      <w:r>
        <w:rPr>
          <w:rFonts w:asciiTheme="minorEastAsia" w:hAnsiTheme="minorEastAsia"/>
          <w:sz w:val="24"/>
          <w:szCs w:val="24"/>
        </w:rPr>
        <w:t>+</w:t>
      </w:r>
      <w:r>
        <w:rPr>
          <w:rFonts w:asciiTheme="minorEastAsia" w:hAnsiTheme="minorEastAsia" w:hint="eastAsia"/>
          <w:sz w:val="24"/>
          <w:szCs w:val="24"/>
        </w:rPr>
        <w:t>补差费</w:t>
      </w:r>
    </w:p>
    <w:p w:rsidR="00062C61" w:rsidRDefault="00210C7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）转出费</w:t>
      </w:r>
      <w:r>
        <w:rPr>
          <w:rFonts w:asciiTheme="minorEastAsia" w:hAnsiTheme="minorEastAsia"/>
          <w:sz w:val="24"/>
          <w:szCs w:val="24"/>
        </w:rPr>
        <w:t>=</w:t>
      </w:r>
      <w:r>
        <w:rPr>
          <w:rFonts w:asciiTheme="minorEastAsia" w:hAnsiTheme="minorEastAsia" w:hint="eastAsia"/>
          <w:sz w:val="24"/>
          <w:szCs w:val="24"/>
        </w:rPr>
        <w:t>转出金额×转出基金赎回费率</w:t>
      </w:r>
    </w:p>
    <w:p w:rsidR="00062C61" w:rsidRDefault="00210C7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3</w:t>
      </w:r>
      <w:r>
        <w:rPr>
          <w:rFonts w:asciiTheme="minorEastAsia" w:hAnsiTheme="minorEastAsia" w:hint="eastAsia"/>
          <w:sz w:val="24"/>
          <w:szCs w:val="24"/>
        </w:rPr>
        <w:t>）转出金额</w:t>
      </w:r>
      <w:r>
        <w:rPr>
          <w:rFonts w:asciiTheme="minorEastAsia" w:hAnsiTheme="minorEastAsia"/>
          <w:sz w:val="24"/>
          <w:szCs w:val="24"/>
        </w:rPr>
        <w:t>=</w:t>
      </w:r>
      <w:r>
        <w:rPr>
          <w:rFonts w:asciiTheme="minorEastAsia" w:hAnsiTheme="minorEastAsia" w:hint="eastAsia"/>
          <w:sz w:val="24"/>
          <w:szCs w:val="24"/>
        </w:rPr>
        <w:t>转出基金份额×转出基金当日基金份额净值</w:t>
      </w:r>
    </w:p>
    <w:p w:rsidR="00062C61" w:rsidRDefault="00210C7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4</w:t>
      </w:r>
      <w:r>
        <w:rPr>
          <w:rFonts w:asciiTheme="minorEastAsia" w:hAnsiTheme="minorEastAsia" w:hint="eastAsia"/>
          <w:sz w:val="24"/>
          <w:szCs w:val="24"/>
        </w:rPr>
        <w:t>）补差费</w:t>
      </w:r>
      <w:r>
        <w:rPr>
          <w:rFonts w:asciiTheme="minorEastAsia" w:hAnsiTheme="minorEastAsia"/>
          <w:sz w:val="24"/>
          <w:szCs w:val="24"/>
        </w:rPr>
        <w:t>=Max</w:t>
      </w:r>
      <w:r>
        <w:rPr>
          <w:rFonts w:asciiTheme="minorEastAsia" w:hAnsiTheme="minorEastAsia" w:hint="eastAsia"/>
          <w:sz w:val="24"/>
          <w:szCs w:val="24"/>
        </w:rPr>
        <w:t>（｛转出净金额×转入基金的申购费率</w:t>
      </w:r>
      <w:r>
        <w:rPr>
          <w:rFonts w:asciiTheme="minorEastAsia" w:hAnsiTheme="minorEastAsia"/>
          <w:sz w:val="24"/>
          <w:szCs w:val="24"/>
        </w:rPr>
        <w:t>/(1+</w:t>
      </w:r>
      <w:r>
        <w:rPr>
          <w:rFonts w:asciiTheme="minorEastAsia" w:hAnsiTheme="minorEastAsia" w:hint="eastAsia"/>
          <w:sz w:val="24"/>
          <w:szCs w:val="24"/>
        </w:rPr>
        <w:t>转入基金的申购费率</w:t>
      </w:r>
      <w:r>
        <w:rPr>
          <w:rFonts w:asciiTheme="minorEastAsia" w:hAnsiTheme="minorEastAsia"/>
          <w:sz w:val="24"/>
          <w:szCs w:val="24"/>
        </w:rPr>
        <w:t xml:space="preserve">) </w:t>
      </w:r>
      <w:r>
        <w:rPr>
          <w:rFonts w:asciiTheme="minorEastAsia" w:hAnsiTheme="minorEastAsia" w:hint="eastAsia"/>
          <w:sz w:val="24"/>
          <w:szCs w:val="24"/>
        </w:rPr>
        <w:t>｝－｛转出净金额×转出基金的申购费率</w:t>
      </w:r>
      <w:r>
        <w:rPr>
          <w:rFonts w:asciiTheme="minorEastAsia" w:hAnsiTheme="minorEastAsia"/>
          <w:sz w:val="24"/>
          <w:szCs w:val="24"/>
        </w:rPr>
        <w:t>/(1+</w:t>
      </w:r>
      <w:r>
        <w:rPr>
          <w:rFonts w:asciiTheme="minorEastAsia" w:hAnsiTheme="minorEastAsia" w:hint="eastAsia"/>
          <w:sz w:val="24"/>
          <w:szCs w:val="24"/>
        </w:rPr>
        <w:t>转出基金的申购费率</w:t>
      </w:r>
      <w:r>
        <w:rPr>
          <w:rFonts w:asciiTheme="minorEastAsia" w:hAnsiTheme="minorEastAsia"/>
          <w:sz w:val="24"/>
          <w:szCs w:val="24"/>
        </w:rPr>
        <w:t xml:space="preserve">) </w:t>
      </w:r>
      <w:r>
        <w:rPr>
          <w:rFonts w:asciiTheme="minorEastAsia" w:hAnsiTheme="minorEastAsia" w:hint="eastAsia"/>
          <w:sz w:val="24"/>
          <w:szCs w:val="24"/>
        </w:rPr>
        <w:t>｝，</w:t>
      </w:r>
      <w:r>
        <w:rPr>
          <w:rFonts w:asciiTheme="minorEastAsia" w:hAnsiTheme="minorEastAsia"/>
          <w:sz w:val="24"/>
          <w:szCs w:val="24"/>
        </w:rPr>
        <w:t>0</w:t>
      </w:r>
      <w:r>
        <w:rPr>
          <w:rFonts w:asciiTheme="minorEastAsia" w:hAnsiTheme="minorEastAsia" w:hint="eastAsia"/>
          <w:sz w:val="24"/>
          <w:szCs w:val="24"/>
        </w:rPr>
        <w:t>）</w:t>
      </w:r>
    </w:p>
    <w:p w:rsidR="00062C61" w:rsidRDefault="00210C7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5</w:t>
      </w:r>
      <w:r>
        <w:rPr>
          <w:rFonts w:asciiTheme="minorEastAsia" w:hAnsiTheme="minorEastAsia" w:hint="eastAsia"/>
          <w:sz w:val="24"/>
          <w:szCs w:val="24"/>
        </w:rPr>
        <w:t>）转入净金额</w:t>
      </w:r>
      <w:r>
        <w:rPr>
          <w:rFonts w:asciiTheme="minorEastAsia" w:hAnsiTheme="minorEastAsia"/>
          <w:sz w:val="24"/>
          <w:szCs w:val="24"/>
        </w:rPr>
        <w:t>=</w:t>
      </w:r>
      <w:r>
        <w:rPr>
          <w:rFonts w:asciiTheme="minorEastAsia" w:hAnsiTheme="minorEastAsia" w:hint="eastAsia"/>
          <w:sz w:val="24"/>
          <w:szCs w:val="24"/>
        </w:rPr>
        <w:t>转出金额</w:t>
      </w:r>
      <w:r>
        <w:rPr>
          <w:rFonts w:asciiTheme="minorEastAsia" w:hAnsiTheme="minorEastAsia"/>
          <w:sz w:val="24"/>
          <w:szCs w:val="24"/>
        </w:rPr>
        <w:t>-</w:t>
      </w:r>
      <w:r>
        <w:rPr>
          <w:rFonts w:asciiTheme="minorEastAsia" w:hAnsiTheme="minorEastAsia" w:hint="eastAsia"/>
          <w:sz w:val="24"/>
          <w:szCs w:val="24"/>
        </w:rPr>
        <w:t>转换费用</w:t>
      </w:r>
    </w:p>
    <w:p w:rsidR="00062C61" w:rsidRDefault="00210C7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w:t>
      </w:r>
      <w:r>
        <w:rPr>
          <w:rFonts w:asciiTheme="minorEastAsia" w:hAnsiTheme="minorEastAsia" w:hint="eastAsia"/>
          <w:sz w:val="24"/>
          <w:szCs w:val="24"/>
        </w:rPr>
        <w:t>6</w:t>
      </w:r>
      <w:r>
        <w:rPr>
          <w:rFonts w:asciiTheme="minorEastAsia" w:hAnsiTheme="minorEastAsia" w:hint="eastAsia"/>
          <w:sz w:val="24"/>
          <w:szCs w:val="24"/>
        </w:rPr>
        <w:t>）转出净金额</w:t>
      </w:r>
      <w:r>
        <w:rPr>
          <w:rFonts w:asciiTheme="minorEastAsia" w:hAnsiTheme="minorEastAsia"/>
          <w:sz w:val="24"/>
          <w:szCs w:val="24"/>
        </w:rPr>
        <w:t>=</w:t>
      </w:r>
      <w:r>
        <w:rPr>
          <w:rFonts w:asciiTheme="minorEastAsia" w:hAnsiTheme="minorEastAsia" w:hint="eastAsia"/>
          <w:sz w:val="24"/>
          <w:szCs w:val="24"/>
        </w:rPr>
        <w:t>转出基金份额×转出基金当日基金份额净值×（</w:t>
      </w:r>
      <w:r>
        <w:rPr>
          <w:rFonts w:asciiTheme="minorEastAsia" w:hAnsiTheme="minorEastAsia"/>
          <w:sz w:val="24"/>
          <w:szCs w:val="24"/>
        </w:rPr>
        <w:t>1</w:t>
      </w:r>
      <w:r>
        <w:rPr>
          <w:rFonts w:asciiTheme="minorEastAsia" w:hAnsiTheme="minorEastAsia" w:hint="eastAsia"/>
          <w:sz w:val="24"/>
          <w:szCs w:val="24"/>
        </w:rPr>
        <w:t>－转出基金赎回费率）</w:t>
      </w:r>
    </w:p>
    <w:p w:rsidR="00062C61" w:rsidRDefault="00210C7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7</w:t>
      </w:r>
      <w:r>
        <w:rPr>
          <w:rFonts w:asciiTheme="minorEastAsia" w:hAnsiTheme="minorEastAsia" w:hint="eastAsia"/>
          <w:sz w:val="24"/>
          <w:szCs w:val="24"/>
        </w:rPr>
        <w:t>）转入份额</w:t>
      </w:r>
      <w:r>
        <w:rPr>
          <w:rFonts w:asciiTheme="minorEastAsia" w:hAnsiTheme="minorEastAsia"/>
          <w:sz w:val="24"/>
          <w:szCs w:val="24"/>
        </w:rPr>
        <w:t>=</w:t>
      </w:r>
      <w:r>
        <w:rPr>
          <w:rFonts w:asciiTheme="minorEastAsia" w:hAnsiTheme="minorEastAsia" w:hint="eastAsia"/>
          <w:sz w:val="24"/>
          <w:szCs w:val="24"/>
        </w:rPr>
        <w:t>转入净金额</w:t>
      </w:r>
      <w:r>
        <w:rPr>
          <w:rFonts w:asciiTheme="minorEastAsia" w:hAnsiTheme="minorEastAsia"/>
          <w:sz w:val="24"/>
          <w:szCs w:val="24"/>
        </w:rPr>
        <w:t>/</w:t>
      </w:r>
      <w:r>
        <w:rPr>
          <w:rFonts w:asciiTheme="minorEastAsia" w:hAnsiTheme="minorEastAsia" w:hint="eastAsia"/>
          <w:sz w:val="24"/>
          <w:szCs w:val="24"/>
        </w:rPr>
        <w:t>转入基金当日基金份额净值</w:t>
      </w:r>
    </w:p>
    <w:p w:rsidR="00062C61" w:rsidRDefault="00210C7B">
      <w:pPr>
        <w:spacing w:line="360" w:lineRule="auto"/>
        <w:ind w:firstLineChars="200" w:firstLine="482"/>
        <w:rPr>
          <w:rFonts w:asciiTheme="minorEastAsia" w:hAnsiTheme="minorEastAsia"/>
          <w:b/>
          <w:sz w:val="24"/>
          <w:szCs w:val="24"/>
        </w:rPr>
      </w:pPr>
      <w:r>
        <w:rPr>
          <w:rFonts w:asciiTheme="minorEastAsia" w:hAnsiTheme="minorEastAsia"/>
          <w:b/>
          <w:sz w:val="24"/>
          <w:szCs w:val="24"/>
        </w:rPr>
        <w:t>2</w:t>
      </w:r>
      <w:r>
        <w:rPr>
          <w:rFonts w:asciiTheme="minorEastAsia" w:hAnsiTheme="minorEastAsia"/>
          <w:b/>
          <w:sz w:val="24"/>
          <w:szCs w:val="24"/>
        </w:rPr>
        <w:t>、适用基金范围</w:t>
      </w:r>
    </w:p>
    <w:p w:rsidR="00062C61" w:rsidRDefault="00210C7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基金转换业务适用于本公司募集管理并且在本公司注册登记的下列基金，投资者可以</w:t>
      </w:r>
      <w:r w:rsidR="006E1655">
        <w:rPr>
          <w:rFonts w:asciiTheme="minorEastAsia" w:hAnsiTheme="minorEastAsia" w:hint="eastAsia"/>
          <w:sz w:val="24"/>
          <w:szCs w:val="24"/>
        </w:rPr>
        <w:t>国金证券</w:t>
      </w:r>
      <w:r>
        <w:rPr>
          <w:rFonts w:asciiTheme="minorEastAsia" w:hAnsiTheme="minorEastAsia" w:hint="eastAsia"/>
          <w:sz w:val="24"/>
          <w:szCs w:val="24"/>
        </w:rPr>
        <w:t>申请办理下列基金的转换业务：</w:t>
      </w:r>
    </w:p>
    <w:p w:rsidR="00062C61" w:rsidRDefault="00210C7B">
      <w:pPr>
        <w:spacing w:line="360" w:lineRule="auto"/>
        <w:ind w:left="121" w:firstLineChars="200" w:firstLine="480"/>
        <w:jc w:val="left"/>
        <w:rPr>
          <w:rFonts w:asciiTheme="minorEastAsia" w:hAnsiTheme="minorEastAsia"/>
          <w:sz w:val="24"/>
          <w:szCs w:val="24"/>
        </w:rPr>
      </w:pPr>
      <w:r>
        <w:rPr>
          <w:rFonts w:asciiTheme="minorEastAsia" w:hAnsiTheme="minorEastAsia" w:hint="eastAsia"/>
          <w:sz w:val="24"/>
          <w:szCs w:val="24"/>
        </w:rPr>
        <w:t>太平日日金货币市场基金（基金简称：太平日日金；</w:t>
      </w:r>
      <w:r>
        <w:rPr>
          <w:rFonts w:asciiTheme="minorEastAsia" w:hAnsiTheme="minorEastAsia" w:hint="eastAsia"/>
          <w:sz w:val="24"/>
          <w:szCs w:val="24"/>
        </w:rPr>
        <w:t>A</w:t>
      </w:r>
      <w:r>
        <w:rPr>
          <w:rFonts w:asciiTheme="minorEastAsia" w:hAnsiTheme="minorEastAsia" w:hint="eastAsia"/>
          <w:sz w:val="24"/>
          <w:szCs w:val="24"/>
        </w:rPr>
        <w:t>类份额基金代码：</w:t>
      </w:r>
      <w:r>
        <w:rPr>
          <w:rFonts w:asciiTheme="minorEastAsia" w:hAnsiTheme="minorEastAsia" w:hint="eastAsia"/>
          <w:sz w:val="24"/>
          <w:szCs w:val="24"/>
        </w:rPr>
        <w:t>003398</w:t>
      </w:r>
      <w:r>
        <w:rPr>
          <w:rFonts w:asciiTheme="minorEastAsia" w:hAnsiTheme="minorEastAsia" w:hint="eastAsia"/>
          <w:sz w:val="24"/>
          <w:szCs w:val="24"/>
        </w:rPr>
        <w:t>，</w:t>
      </w:r>
      <w:r>
        <w:rPr>
          <w:rFonts w:asciiTheme="minorEastAsia" w:hAnsiTheme="minorEastAsia" w:hint="eastAsia"/>
          <w:sz w:val="24"/>
          <w:szCs w:val="24"/>
        </w:rPr>
        <w:t>B</w:t>
      </w:r>
      <w:r>
        <w:rPr>
          <w:rFonts w:asciiTheme="minorEastAsia" w:hAnsiTheme="minorEastAsia" w:hint="eastAsia"/>
          <w:sz w:val="24"/>
          <w:szCs w:val="24"/>
        </w:rPr>
        <w:t>类份额基金代码：</w:t>
      </w:r>
      <w:r>
        <w:rPr>
          <w:rFonts w:asciiTheme="minorEastAsia" w:hAnsiTheme="minorEastAsia" w:hint="eastAsia"/>
          <w:sz w:val="24"/>
          <w:szCs w:val="24"/>
        </w:rPr>
        <w:t>003399</w:t>
      </w:r>
      <w:r>
        <w:rPr>
          <w:rFonts w:asciiTheme="minorEastAsia" w:hAnsiTheme="minorEastAsia" w:hint="eastAsia"/>
          <w:sz w:val="24"/>
          <w:szCs w:val="24"/>
        </w:rPr>
        <w:t>）；</w:t>
      </w:r>
    </w:p>
    <w:p w:rsidR="00062C61" w:rsidRDefault="00210C7B">
      <w:pPr>
        <w:spacing w:line="360" w:lineRule="auto"/>
        <w:ind w:left="121" w:firstLineChars="200" w:firstLine="480"/>
        <w:jc w:val="left"/>
        <w:rPr>
          <w:rFonts w:asciiTheme="minorEastAsia" w:hAnsiTheme="minorEastAsia"/>
          <w:sz w:val="24"/>
          <w:szCs w:val="24"/>
        </w:rPr>
      </w:pPr>
      <w:r>
        <w:rPr>
          <w:rFonts w:asciiTheme="minorEastAsia" w:hAnsiTheme="minorEastAsia" w:hint="eastAsia"/>
          <w:sz w:val="24"/>
          <w:szCs w:val="24"/>
        </w:rPr>
        <w:t>太平日日鑫货币市场基金（基金简称：太平日日鑫；</w:t>
      </w:r>
      <w:r>
        <w:rPr>
          <w:rFonts w:asciiTheme="minorEastAsia" w:hAnsiTheme="minorEastAsia" w:hint="eastAsia"/>
          <w:sz w:val="24"/>
          <w:szCs w:val="24"/>
        </w:rPr>
        <w:t>A</w:t>
      </w:r>
      <w:r>
        <w:rPr>
          <w:rFonts w:asciiTheme="minorEastAsia" w:hAnsiTheme="minorEastAsia" w:hint="eastAsia"/>
          <w:sz w:val="24"/>
          <w:szCs w:val="24"/>
        </w:rPr>
        <w:t>类份额基金代码：</w:t>
      </w:r>
      <w:r>
        <w:rPr>
          <w:rFonts w:asciiTheme="minorEastAsia" w:hAnsiTheme="minorEastAsia" w:hint="eastAsia"/>
          <w:sz w:val="24"/>
          <w:szCs w:val="24"/>
        </w:rPr>
        <w:t>004330</w:t>
      </w:r>
      <w:r>
        <w:rPr>
          <w:rFonts w:asciiTheme="minorEastAsia" w:hAnsiTheme="minorEastAsia" w:hint="eastAsia"/>
          <w:sz w:val="24"/>
          <w:szCs w:val="24"/>
        </w:rPr>
        <w:t>，</w:t>
      </w:r>
      <w:r>
        <w:rPr>
          <w:rFonts w:asciiTheme="minorEastAsia" w:hAnsiTheme="minorEastAsia" w:hint="eastAsia"/>
          <w:sz w:val="24"/>
          <w:szCs w:val="24"/>
        </w:rPr>
        <w:t>B</w:t>
      </w:r>
      <w:r>
        <w:rPr>
          <w:rFonts w:asciiTheme="minorEastAsia" w:hAnsiTheme="minorEastAsia" w:hint="eastAsia"/>
          <w:sz w:val="24"/>
          <w:szCs w:val="24"/>
        </w:rPr>
        <w:t>类份额基金代码：</w:t>
      </w:r>
      <w:r>
        <w:rPr>
          <w:rFonts w:asciiTheme="minorEastAsia" w:hAnsiTheme="minorEastAsia" w:hint="eastAsia"/>
          <w:sz w:val="24"/>
          <w:szCs w:val="24"/>
        </w:rPr>
        <w:t>004331</w:t>
      </w:r>
      <w:r>
        <w:rPr>
          <w:rFonts w:asciiTheme="minorEastAsia" w:hAnsiTheme="minorEastAsia" w:hint="eastAsia"/>
          <w:sz w:val="24"/>
          <w:szCs w:val="24"/>
        </w:rPr>
        <w:t>）；</w:t>
      </w:r>
    </w:p>
    <w:p w:rsidR="00062C61" w:rsidRDefault="00210C7B">
      <w:pPr>
        <w:spacing w:line="360" w:lineRule="auto"/>
        <w:ind w:left="121" w:firstLineChars="200" w:firstLine="480"/>
        <w:jc w:val="left"/>
        <w:rPr>
          <w:rFonts w:asciiTheme="minorEastAsia" w:hAnsiTheme="minorEastAsia"/>
          <w:sz w:val="24"/>
          <w:szCs w:val="24"/>
        </w:rPr>
      </w:pPr>
      <w:r>
        <w:rPr>
          <w:rFonts w:asciiTheme="minorEastAsia" w:hAnsiTheme="minorEastAsia" w:hint="eastAsia"/>
          <w:sz w:val="24"/>
          <w:szCs w:val="24"/>
        </w:rPr>
        <w:t>太平恒安三个月定期开放债券型证券投资基金（基金简称：太平恒安三个月定开债；基金代码：</w:t>
      </w:r>
      <w:r>
        <w:rPr>
          <w:rFonts w:asciiTheme="minorEastAsia" w:hAnsiTheme="minorEastAsia" w:hint="eastAsia"/>
          <w:sz w:val="24"/>
          <w:szCs w:val="24"/>
        </w:rPr>
        <w:t>007545</w:t>
      </w:r>
      <w:r>
        <w:rPr>
          <w:rFonts w:asciiTheme="minorEastAsia" w:hAnsiTheme="minorEastAsia" w:hint="eastAsia"/>
          <w:sz w:val="24"/>
          <w:szCs w:val="24"/>
        </w:rPr>
        <w:t>）；</w:t>
      </w:r>
    </w:p>
    <w:p w:rsidR="00062C61" w:rsidRDefault="00210C7B">
      <w:pPr>
        <w:spacing w:line="360" w:lineRule="auto"/>
        <w:ind w:left="121" w:firstLineChars="200" w:firstLine="480"/>
        <w:jc w:val="left"/>
        <w:rPr>
          <w:rFonts w:asciiTheme="minorEastAsia" w:hAnsiTheme="minorEastAsia"/>
          <w:sz w:val="24"/>
          <w:szCs w:val="24"/>
        </w:rPr>
      </w:pPr>
      <w:r>
        <w:rPr>
          <w:rFonts w:asciiTheme="minorEastAsia" w:hAnsiTheme="minorEastAsia" w:hint="eastAsia"/>
          <w:sz w:val="24"/>
          <w:szCs w:val="24"/>
        </w:rPr>
        <w:t>太平中债</w:t>
      </w:r>
      <w:r>
        <w:rPr>
          <w:rFonts w:asciiTheme="minorEastAsia" w:hAnsiTheme="minorEastAsia" w:hint="eastAsia"/>
          <w:sz w:val="24"/>
          <w:szCs w:val="24"/>
        </w:rPr>
        <w:t>1-3</w:t>
      </w:r>
      <w:r>
        <w:rPr>
          <w:rFonts w:asciiTheme="minorEastAsia" w:hAnsiTheme="minorEastAsia" w:hint="eastAsia"/>
          <w:sz w:val="24"/>
          <w:szCs w:val="24"/>
        </w:rPr>
        <w:t>年政策性金融债指数证券投资基金（基金简称：太平中债</w:t>
      </w:r>
      <w:r>
        <w:rPr>
          <w:rFonts w:asciiTheme="minorEastAsia" w:hAnsiTheme="minorEastAsia" w:hint="eastAsia"/>
          <w:sz w:val="24"/>
          <w:szCs w:val="24"/>
        </w:rPr>
        <w:t>1-3</w:t>
      </w:r>
      <w:r>
        <w:rPr>
          <w:rFonts w:asciiTheme="minorEastAsia" w:hAnsiTheme="minorEastAsia" w:hint="eastAsia"/>
          <w:sz w:val="24"/>
          <w:szCs w:val="24"/>
        </w:rPr>
        <w:t>年政策性金融债；</w:t>
      </w:r>
      <w:r>
        <w:rPr>
          <w:rFonts w:asciiTheme="minorEastAsia" w:hAnsiTheme="minorEastAsia" w:hint="eastAsia"/>
          <w:sz w:val="24"/>
          <w:szCs w:val="24"/>
        </w:rPr>
        <w:t>A</w:t>
      </w:r>
      <w:r>
        <w:rPr>
          <w:rFonts w:asciiTheme="minorEastAsia" w:hAnsiTheme="minorEastAsia" w:hint="eastAsia"/>
          <w:sz w:val="24"/>
          <w:szCs w:val="24"/>
        </w:rPr>
        <w:t>类份额基金代码：</w:t>
      </w:r>
      <w:r>
        <w:rPr>
          <w:rFonts w:asciiTheme="minorEastAsia" w:hAnsiTheme="minorEastAsia" w:hint="eastAsia"/>
          <w:sz w:val="24"/>
          <w:szCs w:val="24"/>
        </w:rPr>
        <w:t>009087</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类份额基金代码：</w:t>
      </w:r>
      <w:r>
        <w:rPr>
          <w:rFonts w:asciiTheme="minorEastAsia" w:hAnsiTheme="minorEastAsia" w:hint="eastAsia"/>
          <w:sz w:val="24"/>
          <w:szCs w:val="24"/>
        </w:rPr>
        <w:t>009088</w:t>
      </w:r>
      <w:r>
        <w:rPr>
          <w:rFonts w:asciiTheme="minorEastAsia" w:hAnsiTheme="minorEastAsia" w:hint="eastAsia"/>
          <w:sz w:val="24"/>
          <w:szCs w:val="24"/>
        </w:rPr>
        <w:t>）；</w:t>
      </w:r>
    </w:p>
    <w:p w:rsidR="00062C61" w:rsidRDefault="00210C7B">
      <w:pPr>
        <w:spacing w:line="360" w:lineRule="auto"/>
        <w:ind w:left="121" w:firstLineChars="200" w:firstLine="480"/>
        <w:jc w:val="left"/>
        <w:rPr>
          <w:rFonts w:asciiTheme="minorEastAsia" w:hAnsiTheme="minorEastAsia"/>
          <w:sz w:val="24"/>
          <w:szCs w:val="24"/>
        </w:rPr>
      </w:pPr>
      <w:r>
        <w:rPr>
          <w:rFonts w:asciiTheme="minorEastAsia" w:hAnsiTheme="minorEastAsia" w:hint="eastAsia"/>
          <w:sz w:val="24"/>
          <w:szCs w:val="24"/>
        </w:rPr>
        <w:t>太平恒睿纯债债券型证券投资基金（基金简称：太平恒睿纯债；基金代码：</w:t>
      </w:r>
      <w:r>
        <w:rPr>
          <w:rFonts w:asciiTheme="minorEastAsia" w:hAnsiTheme="minorEastAsia" w:hint="eastAsia"/>
          <w:sz w:val="24"/>
          <w:szCs w:val="24"/>
        </w:rPr>
        <w:t>009118</w:t>
      </w:r>
      <w:r>
        <w:rPr>
          <w:rFonts w:asciiTheme="minorEastAsia" w:hAnsiTheme="minorEastAsia" w:hint="eastAsia"/>
          <w:sz w:val="24"/>
          <w:szCs w:val="24"/>
        </w:rPr>
        <w:t>）；</w:t>
      </w:r>
    </w:p>
    <w:p w:rsidR="00D91912" w:rsidRPr="00D91912" w:rsidRDefault="00D91912" w:rsidP="00D91912">
      <w:pPr>
        <w:spacing w:line="360" w:lineRule="auto"/>
        <w:ind w:left="121" w:firstLineChars="200" w:firstLine="480"/>
        <w:jc w:val="left"/>
        <w:rPr>
          <w:rFonts w:asciiTheme="minorEastAsia" w:hAnsiTheme="minorEastAsia"/>
          <w:sz w:val="24"/>
          <w:szCs w:val="24"/>
        </w:rPr>
      </w:pPr>
      <w:r w:rsidRPr="00F21402">
        <w:rPr>
          <w:rFonts w:asciiTheme="minorEastAsia" w:hAnsiTheme="minorEastAsia" w:hint="eastAsia"/>
          <w:sz w:val="24"/>
          <w:szCs w:val="24"/>
        </w:rPr>
        <w:t>太平行业优选股票型证券投资基金（基金简称：太平行业优选；</w:t>
      </w:r>
      <w:r w:rsidRPr="00F21402">
        <w:rPr>
          <w:rFonts w:asciiTheme="minorEastAsia" w:hAnsiTheme="minorEastAsia"/>
          <w:sz w:val="24"/>
          <w:szCs w:val="24"/>
        </w:rPr>
        <w:t>A类份额基金代码：基金代码：009537，C类份额基金代码：009538）。</w:t>
      </w:r>
    </w:p>
    <w:p w:rsidR="00062C61" w:rsidRDefault="00210C7B">
      <w:pPr>
        <w:spacing w:line="360" w:lineRule="auto"/>
        <w:ind w:firstLine="601"/>
        <w:outlineLvl w:val="0"/>
        <w:rPr>
          <w:rFonts w:asciiTheme="minorEastAsia" w:hAnsiTheme="minorEastAsia"/>
          <w:sz w:val="24"/>
          <w:szCs w:val="24"/>
        </w:rPr>
      </w:pPr>
      <w:r>
        <w:rPr>
          <w:rFonts w:hint="eastAsia"/>
          <w:sz w:val="23"/>
          <w:szCs w:val="23"/>
        </w:rPr>
        <w:t>太平恒久纯债债券型证券投资基金（</w:t>
      </w:r>
      <w:r>
        <w:rPr>
          <w:sz w:val="23"/>
          <w:szCs w:val="23"/>
        </w:rPr>
        <w:t>基金</w:t>
      </w:r>
      <w:r>
        <w:rPr>
          <w:rFonts w:hint="eastAsia"/>
          <w:sz w:val="23"/>
          <w:szCs w:val="23"/>
        </w:rPr>
        <w:t>简称：太平恒久</w:t>
      </w:r>
      <w:r>
        <w:rPr>
          <w:sz w:val="23"/>
          <w:szCs w:val="23"/>
        </w:rPr>
        <w:t>纯债</w:t>
      </w:r>
      <w:r>
        <w:rPr>
          <w:rFonts w:hint="eastAsia"/>
          <w:sz w:val="23"/>
          <w:szCs w:val="23"/>
        </w:rPr>
        <w:t>；基金代码；</w:t>
      </w:r>
      <w:r>
        <w:rPr>
          <w:rFonts w:hint="eastAsia"/>
          <w:sz w:val="23"/>
          <w:szCs w:val="23"/>
        </w:rPr>
        <w:t xml:space="preserve"> </w:t>
      </w:r>
      <w:r>
        <w:rPr>
          <w:rFonts w:asciiTheme="minorEastAsia" w:hAnsiTheme="minorEastAsia" w:hint="eastAsia"/>
          <w:sz w:val="24"/>
          <w:szCs w:val="24"/>
        </w:rPr>
        <w:t>010476</w:t>
      </w:r>
      <w:r>
        <w:rPr>
          <w:rFonts w:asciiTheme="minorEastAsia" w:hAnsiTheme="minorEastAsia" w:hint="eastAsia"/>
          <w:sz w:val="24"/>
          <w:szCs w:val="24"/>
        </w:rPr>
        <w:t>）；</w:t>
      </w:r>
    </w:p>
    <w:p w:rsidR="00062C61" w:rsidRDefault="00210C7B">
      <w:pPr>
        <w:spacing w:line="360" w:lineRule="auto"/>
        <w:ind w:firstLine="601"/>
        <w:outlineLvl w:val="0"/>
        <w:rPr>
          <w:rFonts w:asciiTheme="minorEastAsia" w:hAnsiTheme="minorEastAsia"/>
          <w:sz w:val="24"/>
          <w:szCs w:val="24"/>
        </w:rPr>
      </w:pPr>
      <w:r>
        <w:rPr>
          <w:rFonts w:hint="eastAsia"/>
          <w:sz w:val="23"/>
          <w:szCs w:val="23"/>
        </w:rPr>
        <w:t>太平恒兴纯债债券型证券投资基金</w:t>
      </w:r>
      <w:r>
        <w:rPr>
          <w:sz w:val="23"/>
          <w:szCs w:val="23"/>
        </w:rPr>
        <w:t>（基金简称：太平恒</w:t>
      </w:r>
      <w:r>
        <w:rPr>
          <w:rFonts w:hint="eastAsia"/>
          <w:sz w:val="23"/>
          <w:szCs w:val="23"/>
        </w:rPr>
        <w:t>兴</w:t>
      </w:r>
      <w:r>
        <w:rPr>
          <w:sz w:val="23"/>
          <w:szCs w:val="23"/>
        </w:rPr>
        <w:t>纯债；基金代码：</w:t>
      </w:r>
      <w:r>
        <w:rPr>
          <w:rFonts w:asciiTheme="minorEastAsia" w:hAnsiTheme="minorEastAsia"/>
          <w:sz w:val="24"/>
          <w:szCs w:val="24"/>
        </w:rPr>
        <w:t>01</w:t>
      </w:r>
      <w:r>
        <w:rPr>
          <w:rFonts w:asciiTheme="minorEastAsia" w:hAnsiTheme="minorEastAsia" w:hint="eastAsia"/>
          <w:sz w:val="24"/>
          <w:szCs w:val="24"/>
        </w:rPr>
        <w:t>4055</w:t>
      </w:r>
      <w:r>
        <w:rPr>
          <w:rFonts w:asciiTheme="minorEastAsia" w:hAnsiTheme="minorEastAsia"/>
          <w:sz w:val="24"/>
          <w:szCs w:val="24"/>
        </w:rPr>
        <w:t>）</w:t>
      </w:r>
      <w:r>
        <w:rPr>
          <w:rFonts w:asciiTheme="minorEastAsia" w:hAnsiTheme="minorEastAsia" w:hint="eastAsia"/>
          <w:sz w:val="24"/>
          <w:szCs w:val="24"/>
        </w:rPr>
        <w:t>；</w:t>
      </w:r>
    </w:p>
    <w:p w:rsidR="00062C61" w:rsidRDefault="00210C7B">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太平中证</w:t>
      </w:r>
      <w:r>
        <w:rPr>
          <w:rFonts w:asciiTheme="minorEastAsia" w:hAnsiTheme="minorEastAsia" w:hint="eastAsia"/>
          <w:sz w:val="24"/>
          <w:szCs w:val="24"/>
        </w:rPr>
        <w:t>1000</w:t>
      </w:r>
      <w:r>
        <w:rPr>
          <w:rFonts w:asciiTheme="minorEastAsia" w:hAnsiTheme="minorEastAsia" w:hint="eastAsia"/>
          <w:sz w:val="24"/>
          <w:szCs w:val="24"/>
        </w:rPr>
        <w:t>指数增强型证券投资基金（基金简称：太平中证</w:t>
      </w:r>
      <w:r>
        <w:rPr>
          <w:rFonts w:asciiTheme="minorEastAsia" w:hAnsiTheme="minorEastAsia" w:hint="eastAsia"/>
          <w:sz w:val="24"/>
          <w:szCs w:val="24"/>
        </w:rPr>
        <w:t>1000</w:t>
      </w:r>
      <w:r>
        <w:rPr>
          <w:rFonts w:asciiTheme="minorEastAsia" w:hAnsiTheme="minorEastAsia" w:hint="eastAsia"/>
          <w:sz w:val="24"/>
          <w:szCs w:val="24"/>
        </w:rPr>
        <w:t>指数增强；</w:t>
      </w:r>
      <w:r>
        <w:rPr>
          <w:rFonts w:asciiTheme="minorEastAsia" w:hAnsiTheme="minorEastAsia" w:hint="eastAsia"/>
          <w:sz w:val="24"/>
          <w:szCs w:val="24"/>
        </w:rPr>
        <w:t>A</w:t>
      </w:r>
      <w:r>
        <w:rPr>
          <w:rFonts w:asciiTheme="minorEastAsia" w:hAnsiTheme="minorEastAsia" w:hint="eastAsia"/>
          <w:sz w:val="24"/>
          <w:szCs w:val="24"/>
        </w:rPr>
        <w:t>类份额基金代码：</w:t>
      </w:r>
      <w:r>
        <w:rPr>
          <w:rFonts w:asciiTheme="minorEastAsia" w:hAnsiTheme="minorEastAsia"/>
          <w:sz w:val="24"/>
          <w:szCs w:val="24"/>
        </w:rPr>
        <w:t>015466</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类份额基金代码：</w:t>
      </w:r>
      <w:r>
        <w:rPr>
          <w:rFonts w:asciiTheme="minorEastAsia" w:hAnsiTheme="minorEastAsia"/>
          <w:sz w:val="24"/>
          <w:szCs w:val="24"/>
        </w:rPr>
        <w:t>015467</w:t>
      </w:r>
      <w:r>
        <w:rPr>
          <w:rFonts w:asciiTheme="minorEastAsia" w:hAnsiTheme="minorEastAsia" w:hint="eastAsia"/>
          <w:sz w:val="24"/>
          <w:szCs w:val="24"/>
        </w:rPr>
        <w:t>）</w:t>
      </w:r>
    </w:p>
    <w:p w:rsidR="00062C61" w:rsidRDefault="00210C7B">
      <w:pPr>
        <w:spacing w:line="360" w:lineRule="auto"/>
        <w:ind w:left="121" w:firstLineChars="200" w:firstLine="480"/>
        <w:jc w:val="left"/>
        <w:rPr>
          <w:rFonts w:asciiTheme="minorEastAsia" w:hAnsiTheme="minorEastAsia"/>
          <w:sz w:val="24"/>
          <w:szCs w:val="24"/>
        </w:rPr>
      </w:pPr>
      <w:r>
        <w:rPr>
          <w:rFonts w:asciiTheme="minorEastAsia" w:hAnsiTheme="minorEastAsia" w:hint="eastAsia"/>
          <w:sz w:val="24"/>
          <w:szCs w:val="24"/>
        </w:rPr>
        <w:t>太平嘉和三个月定开债券发起式证券投资基金（基金简称：太平嘉和三个月</w:t>
      </w:r>
      <w:r>
        <w:rPr>
          <w:rFonts w:asciiTheme="minorEastAsia" w:hAnsiTheme="minorEastAsia" w:hint="eastAsia"/>
          <w:sz w:val="24"/>
          <w:szCs w:val="24"/>
        </w:rPr>
        <w:t>定开债；基金代码：</w:t>
      </w:r>
      <w:r>
        <w:rPr>
          <w:rFonts w:asciiTheme="minorEastAsia" w:hAnsiTheme="minorEastAsia"/>
          <w:sz w:val="24"/>
          <w:szCs w:val="24"/>
        </w:rPr>
        <w:t>015959</w:t>
      </w:r>
      <w:r>
        <w:rPr>
          <w:rFonts w:asciiTheme="minorEastAsia" w:hAnsiTheme="minorEastAsia" w:hint="eastAsia"/>
          <w:sz w:val="24"/>
          <w:szCs w:val="24"/>
        </w:rPr>
        <w:t>）；</w:t>
      </w:r>
    </w:p>
    <w:p w:rsidR="00062C61" w:rsidRDefault="00210C7B">
      <w:pPr>
        <w:spacing w:line="360" w:lineRule="auto"/>
        <w:ind w:left="121" w:firstLineChars="200" w:firstLine="480"/>
        <w:jc w:val="left"/>
        <w:rPr>
          <w:rFonts w:asciiTheme="minorEastAsia" w:hAnsiTheme="minorEastAsia"/>
          <w:sz w:val="24"/>
          <w:szCs w:val="24"/>
        </w:rPr>
      </w:pPr>
      <w:r>
        <w:rPr>
          <w:rFonts w:asciiTheme="minorEastAsia" w:hAnsiTheme="minorEastAsia" w:hint="eastAsia"/>
          <w:sz w:val="24"/>
          <w:szCs w:val="24"/>
        </w:rPr>
        <w:t>太平恒信</w:t>
      </w:r>
      <w:r>
        <w:rPr>
          <w:rFonts w:asciiTheme="minorEastAsia" w:hAnsiTheme="minorEastAsia" w:hint="eastAsia"/>
          <w:sz w:val="24"/>
          <w:szCs w:val="24"/>
        </w:rPr>
        <w:t>6</w:t>
      </w:r>
      <w:r>
        <w:rPr>
          <w:rFonts w:asciiTheme="minorEastAsia" w:hAnsiTheme="minorEastAsia" w:hint="eastAsia"/>
          <w:sz w:val="24"/>
          <w:szCs w:val="24"/>
        </w:rPr>
        <w:t>个月定期开放债券型证券投资基金（基金简称：太平恒信</w:t>
      </w:r>
      <w:r>
        <w:rPr>
          <w:rFonts w:asciiTheme="minorEastAsia" w:hAnsiTheme="minorEastAsia" w:hint="eastAsia"/>
          <w:sz w:val="24"/>
          <w:szCs w:val="24"/>
        </w:rPr>
        <w:t>6</w:t>
      </w:r>
      <w:r>
        <w:rPr>
          <w:rFonts w:asciiTheme="minorEastAsia" w:hAnsiTheme="minorEastAsia" w:hint="eastAsia"/>
          <w:sz w:val="24"/>
          <w:szCs w:val="24"/>
        </w:rPr>
        <w:t>个月定开债；基金代码：</w:t>
      </w:r>
      <w:r>
        <w:rPr>
          <w:rFonts w:asciiTheme="minorEastAsia" w:hAnsiTheme="minorEastAsia" w:hint="eastAsia"/>
          <w:sz w:val="24"/>
          <w:szCs w:val="24"/>
        </w:rPr>
        <w:t>015961</w:t>
      </w:r>
      <w:r>
        <w:rPr>
          <w:rFonts w:asciiTheme="minorEastAsia" w:hAnsiTheme="minorEastAsia" w:hint="eastAsia"/>
          <w:sz w:val="24"/>
          <w:szCs w:val="24"/>
        </w:rPr>
        <w:t>）；</w:t>
      </w:r>
    </w:p>
    <w:p w:rsidR="00062C61" w:rsidRDefault="00210C7B">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太平中证同业存单</w:t>
      </w:r>
      <w:r>
        <w:rPr>
          <w:rFonts w:asciiTheme="minorEastAsia" w:hAnsiTheme="minorEastAsia" w:hint="eastAsia"/>
          <w:sz w:val="24"/>
          <w:szCs w:val="24"/>
        </w:rPr>
        <w:t>AAA</w:t>
      </w:r>
      <w:r>
        <w:rPr>
          <w:rFonts w:asciiTheme="minorEastAsia" w:hAnsiTheme="minorEastAsia" w:hint="eastAsia"/>
          <w:sz w:val="24"/>
          <w:szCs w:val="24"/>
        </w:rPr>
        <w:t>指数</w:t>
      </w:r>
      <w:r>
        <w:rPr>
          <w:rFonts w:asciiTheme="minorEastAsia" w:hAnsiTheme="minorEastAsia" w:hint="eastAsia"/>
          <w:sz w:val="24"/>
          <w:szCs w:val="24"/>
        </w:rPr>
        <w:t>7</w:t>
      </w:r>
      <w:r>
        <w:rPr>
          <w:rFonts w:asciiTheme="minorEastAsia" w:hAnsiTheme="minorEastAsia" w:hint="eastAsia"/>
          <w:sz w:val="24"/>
          <w:szCs w:val="24"/>
        </w:rPr>
        <w:t>天持有期证券投资基金（基金简称：太平中证同业存单</w:t>
      </w:r>
      <w:r>
        <w:rPr>
          <w:rFonts w:asciiTheme="minorEastAsia" w:hAnsiTheme="minorEastAsia" w:hint="eastAsia"/>
          <w:sz w:val="24"/>
          <w:szCs w:val="24"/>
        </w:rPr>
        <w:t>AAA</w:t>
      </w:r>
      <w:r>
        <w:rPr>
          <w:rFonts w:asciiTheme="minorEastAsia" w:hAnsiTheme="minorEastAsia" w:hint="eastAsia"/>
          <w:sz w:val="24"/>
          <w:szCs w:val="24"/>
        </w:rPr>
        <w:t>指数</w:t>
      </w:r>
      <w:r>
        <w:rPr>
          <w:rFonts w:asciiTheme="minorEastAsia" w:hAnsiTheme="minorEastAsia" w:hint="eastAsia"/>
          <w:sz w:val="24"/>
          <w:szCs w:val="24"/>
        </w:rPr>
        <w:t>7</w:t>
      </w:r>
      <w:r>
        <w:rPr>
          <w:rFonts w:asciiTheme="minorEastAsia" w:hAnsiTheme="minorEastAsia" w:hint="eastAsia"/>
          <w:sz w:val="24"/>
          <w:szCs w:val="24"/>
        </w:rPr>
        <w:t>天持有；基金份额代码：</w:t>
      </w:r>
      <w:r>
        <w:rPr>
          <w:rFonts w:asciiTheme="minorEastAsia" w:hAnsiTheme="minorEastAsia"/>
          <w:sz w:val="24"/>
          <w:szCs w:val="24"/>
        </w:rPr>
        <w:t>017563</w:t>
      </w:r>
      <w:r>
        <w:rPr>
          <w:rFonts w:asciiTheme="minorEastAsia" w:hAnsiTheme="minorEastAsia" w:hint="eastAsia"/>
          <w:sz w:val="24"/>
          <w:szCs w:val="24"/>
        </w:rPr>
        <w:t>）；</w:t>
      </w:r>
    </w:p>
    <w:p w:rsidR="00F71741" w:rsidRDefault="00F71741" w:rsidP="00F71741">
      <w:pPr>
        <w:spacing w:line="360" w:lineRule="auto"/>
        <w:ind w:left="121" w:firstLineChars="200" w:firstLine="480"/>
        <w:jc w:val="left"/>
        <w:rPr>
          <w:rFonts w:asciiTheme="minorEastAsia" w:hAnsiTheme="minorEastAsia"/>
          <w:sz w:val="24"/>
          <w:szCs w:val="24"/>
        </w:rPr>
      </w:pPr>
      <w:r>
        <w:rPr>
          <w:rFonts w:asciiTheme="minorEastAsia" w:hAnsiTheme="minorEastAsia" w:hint="eastAsia"/>
          <w:sz w:val="24"/>
          <w:szCs w:val="24"/>
        </w:rPr>
        <w:t>太平恒泰三个月定开债券发起式证券投资基金（基金简称：太平恒泰三个月定开债；A类份额基金代码：基金代码：</w:t>
      </w:r>
      <w:r>
        <w:rPr>
          <w:rFonts w:asciiTheme="minorEastAsia" w:hAnsiTheme="minorEastAsia"/>
          <w:sz w:val="24"/>
          <w:szCs w:val="24"/>
        </w:rPr>
        <w:t>018100,</w:t>
      </w:r>
      <w:r w:rsidRPr="00F71741">
        <w:rPr>
          <w:rFonts w:asciiTheme="minorEastAsia" w:hAnsiTheme="minorEastAsia" w:hint="eastAsia"/>
          <w:sz w:val="24"/>
          <w:szCs w:val="24"/>
        </w:rPr>
        <w:t>C类份额基金代码：0</w:t>
      </w:r>
      <w:r>
        <w:rPr>
          <w:rFonts w:asciiTheme="minorEastAsia" w:hAnsiTheme="minorEastAsia"/>
          <w:sz w:val="24"/>
          <w:szCs w:val="24"/>
        </w:rPr>
        <w:t>20596</w:t>
      </w:r>
      <w:r>
        <w:rPr>
          <w:rFonts w:asciiTheme="minorEastAsia" w:hAnsiTheme="minorEastAsia" w:hint="eastAsia"/>
          <w:sz w:val="24"/>
          <w:szCs w:val="24"/>
        </w:rPr>
        <w:t>）。</w:t>
      </w:r>
    </w:p>
    <w:p w:rsidR="00062C61" w:rsidRDefault="00210C7B">
      <w:pPr>
        <w:spacing w:line="360" w:lineRule="auto"/>
        <w:ind w:firstLineChars="200" w:firstLine="482"/>
        <w:rPr>
          <w:rFonts w:asciiTheme="minorEastAsia" w:hAnsiTheme="minorEastAsia"/>
          <w:b/>
          <w:sz w:val="24"/>
          <w:szCs w:val="24"/>
        </w:rPr>
      </w:pPr>
      <w:r>
        <w:rPr>
          <w:rFonts w:asciiTheme="minorEastAsia" w:hAnsiTheme="minorEastAsia"/>
          <w:b/>
          <w:sz w:val="24"/>
          <w:szCs w:val="24"/>
        </w:rPr>
        <w:t>3</w:t>
      </w:r>
      <w:r>
        <w:rPr>
          <w:rFonts w:asciiTheme="minorEastAsia" w:hAnsiTheme="minorEastAsia"/>
          <w:b/>
          <w:sz w:val="24"/>
          <w:szCs w:val="24"/>
        </w:rPr>
        <w:t>、转换限额</w:t>
      </w:r>
    </w:p>
    <w:p w:rsidR="00062C61" w:rsidRDefault="00210C7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投资者在办理转换业务时，单笔转换基金份额不得低于</w:t>
      </w:r>
      <w:r>
        <w:rPr>
          <w:rFonts w:asciiTheme="minorEastAsia" w:hAnsiTheme="minorEastAsia" w:hint="eastAsia"/>
          <w:sz w:val="24"/>
          <w:szCs w:val="24"/>
        </w:rPr>
        <w:t>100</w:t>
      </w:r>
      <w:r>
        <w:rPr>
          <w:rFonts w:asciiTheme="minorEastAsia" w:hAnsiTheme="minorEastAsia" w:hint="eastAsia"/>
          <w:sz w:val="24"/>
          <w:szCs w:val="24"/>
        </w:rPr>
        <w:t>份，销售机构有不同规定的，投资者在销售机构办理相关业务时，需遵循该销售机构的相关规定。单一投资者转换转入后持有的基金份额不得达到或超过基金总份额的</w:t>
      </w:r>
      <w:r>
        <w:rPr>
          <w:rFonts w:asciiTheme="minorEastAsia" w:hAnsiTheme="minorEastAsia" w:hint="eastAsia"/>
          <w:sz w:val="24"/>
          <w:szCs w:val="24"/>
        </w:rPr>
        <w:t>50%</w:t>
      </w:r>
      <w:r>
        <w:rPr>
          <w:rFonts w:asciiTheme="minorEastAsia" w:hAnsiTheme="minorEastAsia" w:hint="eastAsia"/>
          <w:sz w:val="24"/>
          <w:szCs w:val="24"/>
        </w:rPr>
        <w:t>。基金管理人可以依照相关法律法规以及基金合同的约定，暂停或者拒绝接受一定金额以上的转换转入申请。</w:t>
      </w:r>
    </w:p>
    <w:p w:rsidR="00062C61" w:rsidRDefault="00210C7B">
      <w:pPr>
        <w:spacing w:line="360" w:lineRule="auto"/>
        <w:ind w:firstLineChars="200" w:firstLine="482"/>
        <w:rPr>
          <w:rFonts w:asciiTheme="minorEastAsia" w:hAnsiTheme="minorEastAsia"/>
          <w:b/>
          <w:sz w:val="24"/>
          <w:szCs w:val="24"/>
        </w:rPr>
      </w:pPr>
      <w:r>
        <w:rPr>
          <w:rFonts w:asciiTheme="minorEastAsia" w:hAnsiTheme="minorEastAsia"/>
          <w:b/>
          <w:sz w:val="24"/>
          <w:szCs w:val="24"/>
        </w:rPr>
        <w:t>4</w:t>
      </w:r>
      <w:r>
        <w:rPr>
          <w:rFonts w:asciiTheme="minorEastAsia" w:hAnsiTheme="minorEastAsia"/>
          <w:b/>
          <w:sz w:val="24"/>
          <w:szCs w:val="24"/>
        </w:rPr>
        <w:t>、转换业务规则</w:t>
      </w:r>
    </w:p>
    <w:p w:rsidR="00062C61" w:rsidRDefault="00210C7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基金转换只能在同一销售机构办理，且该销售机构同时代理转出基金及转入基金的销售。</w:t>
      </w:r>
    </w:p>
    <w:p w:rsidR="00062C61" w:rsidRDefault="00210C7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基金转换，以申请当日基金份额净值为基础计算。投资者采用“份额转换”的原则提交申请，基金转换遵循“先进先出”的原</w:t>
      </w:r>
      <w:r>
        <w:rPr>
          <w:rFonts w:asciiTheme="minorEastAsia" w:hAnsiTheme="minorEastAsia" w:hint="eastAsia"/>
          <w:sz w:val="24"/>
          <w:szCs w:val="24"/>
        </w:rPr>
        <w:t>则。</w:t>
      </w:r>
    </w:p>
    <w:p w:rsidR="00062C61" w:rsidRDefault="00210C7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投资者办理基金转换业务时，转出的基金必须处于可赎回状态，转入的基金必须处于可申购状态，已经冻结的基金份额不得申请基金转换。</w:t>
      </w:r>
    </w:p>
    <w:p w:rsidR="00062C61" w:rsidRDefault="00210C7B">
      <w:pPr>
        <w:spacing w:line="360" w:lineRule="auto"/>
        <w:ind w:firstLineChars="200" w:firstLine="482"/>
        <w:rPr>
          <w:rFonts w:asciiTheme="minorEastAsia" w:hAnsiTheme="minorEastAsia"/>
          <w:b/>
          <w:sz w:val="24"/>
          <w:szCs w:val="24"/>
        </w:rPr>
      </w:pPr>
      <w:r>
        <w:rPr>
          <w:rFonts w:asciiTheme="minorEastAsia" w:hAnsiTheme="minorEastAsia"/>
          <w:b/>
          <w:sz w:val="24"/>
          <w:szCs w:val="24"/>
        </w:rPr>
        <w:t>5</w:t>
      </w:r>
      <w:r>
        <w:rPr>
          <w:rFonts w:asciiTheme="minorEastAsia" w:hAnsiTheme="minorEastAsia"/>
          <w:b/>
          <w:sz w:val="24"/>
          <w:szCs w:val="24"/>
        </w:rPr>
        <w:t>、交易确认</w:t>
      </w:r>
    </w:p>
    <w:p w:rsidR="00062C61" w:rsidRDefault="00210C7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转入的基金持有期自该部分基金份额登记于注册登记系统之日起开始计算。转入的基金在赎回或转出时，按照自基金转入确认日起至该部分基金份额赎回或转出确认日止的持有时段所适用的赎回费率档次计算其所应支付的赎回费。基金转换后可赎回的时间为</w:t>
      </w:r>
      <w:r>
        <w:rPr>
          <w:rFonts w:asciiTheme="minorEastAsia" w:hAnsiTheme="minorEastAsia"/>
          <w:sz w:val="24"/>
          <w:szCs w:val="24"/>
        </w:rPr>
        <w:t>T</w:t>
      </w: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日。</w:t>
      </w:r>
    </w:p>
    <w:p w:rsidR="00062C61" w:rsidRDefault="00062C61">
      <w:pPr>
        <w:spacing w:line="360" w:lineRule="auto"/>
        <w:ind w:firstLineChars="150" w:firstLine="360"/>
        <w:rPr>
          <w:rFonts w:asciiTheme="minorEastAsia" w:hAnsiTheme="minorEastAsia"/>
          <w:sz w:val="24"/>
          <w:szCs w:val="24"/>
        </w:rPr>
      </w:pPr>
    </w:p>
    <w:p w:rsidR="00062C61" w:rsidRDefault="00210C7B">
      <w:pPr>
        <w:spacing w:line="360" w:lineRule="auto"/>
        <w:rPr>
          <w:rFonts w:asciiTheme="minorEastAsia" w:hAnsiTheme="minorEastAsia"/>
          <w:b/>
          <w:sz w:val="24"/>
          <w:szCs w:val="24"/>
        </w:rPr>
      </w:pPr>
      <w:r>
        <w:rPr>
          <w:rFonts w:asciiTheme="minorEastAsia" w:hAnsiTheme="minorEastAsia" w:hint="eastAsia"/>
          <w:b/>
          <w:sz w:val="24"/>
          <w:szCs w:val="24"/>
        </w:rPr>
        <w:t>三、费率优惠</w:t>
      </w:r>
    </w:p>
    <w:p w:rsidR="00062C61" w:rsidRDefault="00210C7B">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1</w:t>
      </w:r>
      <w:r>
        <w:rPr>
          <w:rFonts w:asciiTheme="minorEastAsia" w:hAnsiTheme="minorEastAsia" w:hint="eastAsia"/>
          <w:b/>
          <w:sz w:val="24"/>
          <w:szCs w:val="24"/>
        </w:rPr>
        <w:t>、费率优惠内容</w:t>
      </w:r>
    </w:p>
    <w:p w:rsidR="00062C61" w:rsidRDefault="00210C7B">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自</w:t>
      </w:r>
      <w:r>
        <w:rPr>
          <w:rFonts w:asciiTheme="minorEastAsia" w:hAnsiTheme="minorEastAsia" w:hint="eastAsia"/>
          <w:sz w:val="24"/>
          <w:szCs w:val="24"/>
        </w:rPr>
        <w:t>202</w:t>
      </w:r>
      <w:r>
        <w:rPr>
          <w:rFonts w:asciiTheme="minorEastAsia" w:hAnsiTheme="minorEastAsia"/>
          <w:sz w:val="24"/>
          <w:szCs w:val="24"/>
        </w:rPr>
        <w:t>4</w:t>
      </w:r>
      <w:r>
        <w:rPr>
          <w:rFonts w:asciiTheme="minorEastAsia" w:hAnsiTheme="minorEastAsia" w:hint="eastAsia"/>
          <w:sz w:val="24"/>
          <w:szCs w:val="24"/>
        </w:rPr>
        <w:t>年</w:t>
      </w:r>
      <w:r w:rsidR="00D91912">
        <w:rPr>
          <w:rFonts w:asciiTheme="minorEastAsia" w:hAnsiTheme="minorEastAsia"/>
          <w:sz w:val="24"/>
          <w:szCs w:val="24"/>
        </w:rPr>
        <w:t>3</w:t>
      </w:r>
      <w:r>
        <w:rPr>
          <w:rFonts w:asciiTheme="minorEastAsia" w:hAnsiTheme="minorEastAsia" w:hint="eastAsia"/>
          <w:sz w:val="24"/>
          <w:szCs w:val="24"/>
        </w:rPr>
        <w:t>月</w:t>
      </w:r>
      <w:r>
        <w:rPr>
          <w:rFonts w:asciiTheme="minorEastAsia" w:hAnsiTheme="minorEastAsia" w:hint="eastAsia"/>
          <w:sz w:val="24"/>
          <w:szCs w:val="24"/>
        </w:rPr>
        <w:t>1</w:t>
      </w:r>
      <w:r w:rsidR="00D91912">
        <w:rPr>
          <w:rFonts w:asciiTheme="minorEastAsia" w:hAnsiTheme="minorEastAsia"/>
          <w:sz w:val="24"/>
          <w:szCs w:val="24"/>
        </w:rPr>
        <w:t>4</w:t>
      </w:r>
      <w:r>
        <w:rPr>
          <w:rFonts w:asciiTheme="minorEastAsia" w:hAnsiTheme="minorEastAsia" w:hint="eastAsia"/>
          <w:sz w:val="24"/>
          <w:szCs w:val="24"/>
        </w:rPr>
        <w:t>日起，本公司将不对本公告所列基金参加</w:t>
      </w:r>
      <w:r w:rsidR="006E1655">
        <w:rPr>
          <w:rFonts w:asciiTheme="minorEastAsia" w:hAnsiTheme="minorEastAsia" w:hint="eastAsia"/>
          <w:sz w:val="24"/>
          <w:szCs w:val="24"/>
        </w:rPr>
        <w:t>国金证券</w:t>
      </w:r>
      <w:r>
        <w:rPr>
          <w:rFonts w:asciiTheme="minorEastAsia" w:hAnsiTheme="minorEastAsia" w:hint="eastAsia"/>
          <w:sz w:val="24"/>
          <w:szCs w:val="24"/>
        </w:rPr>
        <w:t>申（认）购费率优惠活动设折扣限制，具体优惠费率以</w:t>
      </w:r>
      <w:r w:rsidR="006E1655">
        <w:rPr>
          <w:rFonts w:asciiTheme="minorEastAsia" w:hAnsiTheme="minorEastAsia" w:hint="eastAsia"/>
          <w:sz w:val="24"/>
          <w:szCs w:val="24"/>
        </w:rPr>
        <w:t>国金证券</w:t>
      </w:r>
      <w:r>
        <w:rPr>
          <w:rFonts w:asciiTheme="minorEastAsia" w:hAnsiTheme="minorEastAsia" w:hint="eastAsia"/>
          <w:sz w:val="24"/>
          <w:szCs w:val="24"/>
        </w:rPr>
        <w:t>官方公告为准。基金原费率详见基金合同、招募说明书及其更新、基金产品资料概要及其更新等法律文件，以及本公司发布的最新业务公告。</w:t>
      </w:r>
    </w:p>
    <w:p w:rsidR="00062C61" w:rsidRDefault="00210C7B">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费率优惠期间，若本公司新增通过</w:t>
      </w:r>
      <w:r w:rsidR="006E1655">
        <w:rPr>
          <w:rFonts w:asciiTheme="minorEastAsia" w:hAnsiTheme="minorEastAsia" w:hint="eastAsia"/>
          <w:sz w:val="24"/>
          <w:szCs w:val="24"/>
        </w:rPr>
        <w:t>国金证券</w:t>
      </w:r>
      <w:r>
        <w:rPr>
          <w:rFonts w:asciiTheme="minorEastAsia" w:hAnsiTheme="minorEastAsia" w:hint="eastAsia"/>
          <w:sz w:val="24"/>
          <w:szCs w:val="24"/>
        </w:rPr>
        <w:t>销售的基金产品（具体详见本公司网站），则自该基金产品开放申（认）购日起，将同时开通该基金上述费率优惠活动。</w:t>
      </w:r>
    </w:p>
    <w:p w:rsidR="00062C61" w:rsidRDefault="00210C7B">
      <w:pPr>
        <w:spacing w:line="360" w:lineRule="auto"/>
        <w:jc w:val="left"/>
        <w:rPr>
          <w:rFonts w:asciiTheme="minorEastAsia" w:hAnsiTheme="minorEastAsia"/>
          <w:b/>
          <w:sz w:val="24"/>
          <w:szCs w:val="24"/>
        </w:rPr>
      </w:pPr>
      <w:r>
        <w:rPr>
          <w:rFonts w:asciiTheme="minorEastAsia" w:hAnsiTheme="minorEastAsia" w:hint="eastAsia"/>
          <w:b/>
          <w:sz w:val="24"/>
          <w:szCs w:val="24"/>
        </w:rPr>
        <w:t>2</w:t>
      </w:r>
      <w:r>
        <w:rPr>
          <w:rFonts w:asciiTheme="minorEastAsia" w:hAnsiTheme="minorEastAsia" w:hint="eastAsia"/>
          <w:b/>
          <w:sz w:val="24"/>
          <w:szCs w:val="24"/>
        </w:rPr>
        <w:t>、费率优惠期限</w:t>
      </w:r>
      <w:r>
        <w:rPr>
          <w:rFonts w:asciiTheme="minorEastAsia" w:hAnsiTheme="minorEastAsia" w:hint="eastAsia"/>
          <w:b/>
          <w:sz w:val="24"/>
          <w:szCs w:val="24"/>
        </w:rPr>
        <w:t xml:space="preserve"> </w:t>
      </w:r>
    </w:p>
    <w:p w:rsidR="00062C61" w:rsidRDefault="00210C7B">
      <w:pPr>
        <w:spacing w:line="360" w:lineRule="auto"/>
        <w:ind w:firstLine="420"/>
        <w:jc w:val="left"/>
        <w:rPr>
          <w:rFonts w:asciiTheme="minorEastAsia" w:hAnsiTheme="minorEastAsia"/>
          <w:sz w:val="24"/>
          <w:szCs w:val="24"/>
        </w:rPr>
      </w:pPr>
      <w:r>
        <w:rPr>
          <w:rFonts w:asciiTheme="minorEastAsia" w:hAnsiTheme="minorEastAsia" w:hint="eastAsia"/>
          <w:sz w:val="24"/>
          <w:szCs w:val="24"/>
        </w:rPr>
        <w:t>具体以</w:t>
      </w:r>
      <w:r w:rsidR="006E1655">
        <w:rPr>
          <w:rFonts w:asciiTheme="minorEastAsia" w:hAnsiTheme="minorEastAsia" w:hint="eastAsia"/>
          <w:sz w:val="24"/>
          <w:szCs w:val="24"/>
        </w:rPr>
        <w:t>国金证券</w:t>
      </w:r>
      <w:r>
        <w:rPr>
          <w:rFonts w:asciiTheme="minorEastAsia" w:hAnsiTheme="minorEastAsia" w:hint="eastAsia"/>
          <w:sz w:val="24"/>
          <w:szCs w:val="24"/>
        </w:rPr>
        <w:t>官方网站所示公告为准。</w:t>
      </w:r>
    </w:p>
    <w:p w:rsidR="00062C61" w:rsidRDefault="00062C61">
      <w:pPr>
        <w:spacing w:line="360" w:lineRule="auto"/>
        <w:ind w:firstLineChars="200" w:firstLine="480"/>
        <w:rPr>
          <w:rFonts w:asciiTheme="minorEastAsia" w:hAnsiTheme="minorEastAsia"/>
          <w:sz w:val="24"/>
          <w:szCs w:val="24"/>
        </w:rPr>
      </w:pPr>
    </w:p>
    <w:p w:rsidR="00062C61" w:rsidRDefault="00210C7B">
      <w:pPr>
        <w:spacing w:line="360" w:lineRule="auto"/>
        <w:rPr>
          <w:rFonts w:asciiTheme="minorEastAsia" w:hAnsiTheme="minorEastAsia"/>
          <w:b/>
          <w:sz w:val="24"/>
          <w:szCs w:val="24"/>
        </w:rPr>
      </w:pPr>
      <w:r>
        <w:rPr>
          <w:rFonts w:asciiTheme="minorEastAsia" w:hAnsiTheme="minorEastAsia" w:hint="eastAsia"/>
          <w:b/>
          <w:sz w:val="24"/>
          <w:szCs w:val="24"/>
        </w:rPr>
        <w:t>四、投资者可通过以下途径了解或咨询有关详情：</w:t>
      </w:r>
    </w:p>
    <w:p w:rsidR="00062C61" w:rsidRDefault="00210C7B">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w:t>
      </w:r>
      <w:r w:rsidR="006E1655">
        <w:rPr>
          <w:rFonts w:asciiTheme="minorEastAsia" w:hAnsiTheme="minorEastAsia" w:hint="eastAsia"/>
          <w:sz w:val="24"/>
          <w:szCs w:val="24"/>
        </w:rPr>
        <w:t>国金证券</w:t>
      </w:r>
      <w:r w:rsidR="00D91912">
        <w:rPr>
          <w:rFonts w:asciiTheme="minorEastAsia" w:hAnsiTheme="minorEastAsia" w:hint="eastAsia"/>
          <w:sz w:val="24"/>
          <w:szCs w:val="24"/>
        </w:rPr>
        <w:t>股份</w:t>
      </w:r>
      <w:r>
        <w:rPr>
          <w:rFonts w:asciiTheme="minorEastAsia" w:hAnsiTheme="minorEastAsia" w:hint="eastAsia"/>
          <w:sz w:val="24"/>
          <w:szCs w:val="24"/>
        </w:rPr>
        <w:t>有限公司</w:t>
      </w:r>
    </w:p>
    <w:p w:rsidR="00062C61" w:rsidRDefault="00210C7B">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客户服务电话：</w:t>
      </w:r>
      <w:r>
        <w:t>95</w:t>
      </w:r>
      <w:r w:rsidR="00D91912">
        <w:t>310</w:t>
      </w:r>
    </w:p>
    <w:p w:rsidR="00062C61" w:rsidRDefault="00210C7B">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公司网站：</w:t>
      </w:r>
      <w:r>
        <w:t>https://</w:t>
      </w:r>
      <w:r w:rsidR="00D91912">
        <w:t>www.gjzq.com.cn</w:t>
      </w:r>
      <w:r>
        <w:t>/</w:t>
      </w:r>
    </w:p>
    <w:p w:rsidR="00062C61" w:rsidRDefault="00210C7B">
      <w:pPr>
        <w:spacing w:line="360" w:lineRule="auto"/>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、太平基金管理有限公司</w:t>
      </w:r>
    </w:p>
    <w:p w:rsidR="00062C61" w:rsidRDefault="00210C7B">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客户服务电话：</w:t>
      </w:r>
      <w:r>
        <w:rPr>
          <w:rFonts w:asciiTheme="minorEastAsia" w:hAnsiTheme="minorEastAsia" w:hint="eastAsia"/>
          <w:sz w:val="24"/>
          <w:szCs w:val="24"/>
        </w:rPr>
        <w:t>400-028-8699</w:t>
      </w:r>
      <w:r>
        <w:rPr>
          <w:rFonts w:asciiTheme="minorEastAsia" w:hAnsiTheme="minorEastAsia" w:hint="eastAsia"/>
          <w:sz w:val="24"/>
          <w:szCs w:val="24"/>
        </w:rPr>
        <w:t>或</w:t>
      </w:r>
      <w:r>
        <w:rPr>
          <w:rFonts w:asciiTheme="minorEastAsia" w:hAnsiTheme="minorEastAsia" w:hint="eastAsia"/>
          <w:sz w:val="24"/>
          <w:szCs w:val="24"/>
        </w:rPr>
        <w:t>021-61560999</w:t>
      </w:r>
    </w:p>
    <w:p w:rsidR="00062C61" w:rsidRDefault="00210C7B">
      <w:pPr>
        <w:spacing w:line="360" w:lineRule="auto"/>
        <w:ind w:firstLineChars="150" w:firstLine="360"/>
      </w:pPr>
      <w:r>
        <w:rPr>
          <w:rFonts w:asciiTheme="minorEastAsia" w:hAnsiTheme="minorEastAsia" w:hint="eastAsia"/>
          <w:sz w:val="24"/>
          <w:szCs w:val="24"/>
        </w:rPr>
        <w:t>公司网站：</w:t>
      </w:r>
      <w:r w:rsidR="00D91912" w:rsidRPr="00D91912">
        <w:t>https://www.taipingfund.com.cn/</w:t>
      </w:r>
    </w:p>
    <w:p w:rsidR="00D91912" w:rsidRPr="00D91912" w:rsidRDefault="00D91912">
      <w:pPr>
        <w:spacing w:line="360" w:lineRule="auto"/>
        <w:ind w:firstLineChars="150" w:firstLine="360"/>
        <w:rPr>
          <w:rFonts w:asciiTheme="minorEastAsia" w:hAnsiTheme="minorEastAsia"/>
          <w:sz w:val="24"/>
          <w:szCs w:val="24"/>
        </w:rPr>
      </w:pPr>
    </w:p>
    <w:p w:rsidR="00062C61" w:rsidRDefault="00210C7B">
      <w:pPr>
        <w:spacing w:line="360" w:lineRule="auto"/>
        <w:rPr>
          <w:rFonts w:asciiTheme="minorEastAsia" w:hAnsiTheme="minorEastAsia"/>
          <w:b/>
          <w:sz w:val="24"/>
          <w:szCs w:val="24"/>
        </w:rPr>
      </w:pPr>
      <w:r>
        <w:rPr>
          <w:rFonts w:asciiTheme="minorEastAsia" w:hAnsiTheme="minorEastAsia" w:hint="eastAsia"/>
          <w:b/>
          <w:sz w:val="24"/>
          <w:szCs w:val="24"/>
        </w:rPr>
        <w:t>五、重要提示</w:t>
      </w:r>
    </w:p>
    <w:p w:rsidR="00062C61" w:rsidRDefault="00210C7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、投资者办理基金交易等相关业务前，敬请仔细阅读相关基金的基金合同、基金招募说明书及其更新、基金产品资料概要及其更新、提示及相关业务规则和操作指南等文件；</w:t>
      </w:r>
    </w:p>
    <w:p w:rsidR="00062C61" w:rsidRDefault="00210C7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、上述申购、赎回、转换业务仅适用于处于正常申购期及处于特定开放日和开放时间的基金。</w:t>
      </w:r>
      <w:r>
        <w:rPr>
          <w:rFonts w:asciiTheme="minorEastAsia" w:hAnsiTheme="minorEastAsia" w:hint="eastAsia"/>
          <w:b/>
          <w:sz w:val="24"/>
          <w:szCs w:val="24"/>
        </w:rPr>
        <w:t>对于处于基金募集期、封闭期、暂停申购等特殊期间或有其他特</w:t>
      </w:r>
      <w:r>
        <w:rPr>
          <w:rFonts w:asciiTheme="minorEastAsia" w:hAnsiTheme="minorEastAsia" w:hint="eastAsia"/>
          <w:b/>
          <w:sz w:val="24"/>
          <w:szCs w:val="24"/>
        </w:rPr>
        <w:t>殊安排等的有关规定敬请详见对应基金的基金合同和招募说明书等相关法律文件及本公司发布的最新业务公告</w:t>
      </w:r>
      <w:r>
        <w:rPr>
          <w:rFonts w:asciiTheme="minorEastAsia" w:hAnsiTheme="minorEastAsia" w:hint="eastAsia"/>
          <w:sz w:val="24"/>
          <w:szCs w:val="24"/>
        </w:rPr>
        <w:t>；</w:t>
      </w:r>
      <w:r>
        <w:rPr>
          <w:rFonts w:asciiTheme="minorEastAsia" w:hAnsiTheme="minorEastAsia" w:hint="eastAsia"/>
          <w:sz w:val="24"/>
          <w:szCs w:val="24"/>
        </w:rPr>
        <w:t xml:space="preserve"> </w:t>
      </w:r>
    </w:p>
    <w:p w:rsidR="00062C61" w:rsidRDefault="00210C7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、本公告凡涉及在</w:t>
      </w:r>
      <w:r w:rsidR="006E1655">
        <w:rPr>
          <w:rFonts w:asciiTheme="minorEastAsia" w:hAnsiTheme="minorEastAsia" w:hint="eastAsia"/>
          <w:sz w:val="24"/>
          <w:szCs w:val="24"/>
        </w:rPr>
        <w:t>国金证券</w:t>
      </w:r>
      <w:r>
        <w:rPr>
          <w:rFonts w:asciiTheme="minorEastAsia" w:hAnsiTheme="minorEastAsia" w:hint="eastAsia"/>
          <w:sz w:val="24"/>
          <w:szCs w:val="24"/>
        </w:rPr>
        <w:t>办理认购、申购或转换等业务的其他未明事项，敬请遵循</w:t>
      </w:r>
      <w:r w:rsidR="006E1655">
        <w:rPr>
          <w:rFonts w:asciiTheme="minorEastAsia" w:hAnsiTheme="minorEastAsia" w:hint="eastAsia"/>
          <w:sz w:val="24"/>
          <w:szCs w:val="24"/>
        </w:rPr>
        <w:t>国金证券</w:t>
      </w:r>
      <w:r>
        <w:rPr>
          <w:rFonts w:asciiTheme="minorEastAsia" w:hAnsiTheme="minorEastAsia" w:hint="eastAsia"/>
          <w:sz w:val="24"/>
          <w:szCs w:val="24"/>
        </w:rPr>
        <w:t>的具体安排和规定；</w:t>
      </w:r>
    </w:p>
    <w:p w:rsidR="00062C61" w:rsidRDefault="00210C7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、本公告的最终解释权归本公司所有。</w:t>
      </w:r>
    </w:p>
    <w:p w:rsidR="00062C61" w:rsidRDefault="00210C7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风险提示：</w:t>
      </w:r>
    </w:p>
    <w:p w:rsidR="00062C61" w:rsidRDefault="00210C7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rsidR="00062C61" w:rsidRDefault="00210C7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特此公告。</w:t>
      </w:r>
    </w:p>
    <w:p w:rsidR="00062C61" w:rsidRDefault="00062C61">
      <w:pPr>
        <w:spacing w:line="360" w:lineRule="auto"/>
        <w:ind w:firstLineChars="200" w:firstLine="480"/>
        <w:rPr>
          <w:rFonts w:asciiTheme="minorEastAsia" w:hAnsiTheme="minorEastAsia"/>
          <w:sz w:val="24"/>
          <w:szCs w:val="24"/>
        </w:rPr>
      </w:pPr>
    </w:p>
    <w:p w:rsidR="00062C61" w:rsidRDefault="00210C7B">
      <w:pPr>
        <w:spacing w:line="360" w:lineRule="auto"/>
        <w:ind w:right="220" w:firstLineChars="1850" w:firstLine="4440"/>
        <w:jc w:val="right"/>
        <w:rPr>
          <w:rFonts w:asciiTheme="minorEastAsia" w:hAnsiTheme="minorEastAsia"/>
          <w:sz w:val="24"/>
          <w:szCs w:val="24"/>
        </w:rPr>
      </w:pPr>
      <w:r>
        <w:rPr>
          <w:rFonts w:asciiTheme="minorEastAsia" w:hAnsiTheme="minorEastAsia" w:hint="eastAsia"/>
          <w:sz w:val="24"/>
          <w:szCs w:val="24"/>
        </w:rPr>
        <w:t>太平基金管理有限公司</w:t>
      </w:r>
    </w:p>
    <w:p w:rsidR="00062C61" w:rsidRDefault="00210C7B">
      <w:pPr>
        <w:spacing w:line="360" w:lineRule="auto"/>
        <w:ind w:right="220" w:firstLineChars="1950" w:firstLine="4680"/>
        <w:jc w:val="right"/>
        <w:rPr>
          <w:rFonts w:asciiTheme="minorEastAsia" w:hAnsiTheme="minorEastAsia"/>
          <w:sz w:val="24"/>
          <w:szCs w:val="24"/>
        </w:rPr>
      </w:pPr>
      <w:r>
        <w:rPr>
          <w:rFonts w:asciiTheme="minorEastAsia" w:hAnsiTheme="minorEastAsia" w:hint="eastAsia"/>
          <w:sz w:val="24"/>
          <w:szCs w:val="24"/>
        </w:rPr>
        <w:t>二〇二四年</w:t>
      </w:r>
      <w:r w:rsidR="00D91912">
        <w:rPr>
          <w:rFonts w:asciiTheme="minorEastAsia" w:hAnsiTheme="minorEastAsia" w:hint="eastAsia"/>
          <w:sz w:val="24"/>
          <w:szCs w:val="24"/>
        </w:rPr>
        <w:t>三</w:t>
      </w:r>
      <w:r>
        <w:rPr>
          <w:rFonts w:asciiTheme="minorEastAsia" w:hAnsiTheme="minorEastAsia" w:hint="eastAsia"/>
          <w:sz w:val="24"/>
          <w:szCs w:val="24"/>
        </w:rPr>
        <w:t>月十</w:t>
      </w:r>
      <w:r w:rsidR="00D91912">
        <w:rPr>
          <w:rFonts w:asciiTheme="minorEastAsia" w:hAnsiTheme="minorEastAsia" w:hint="eastAsia"/>
          <w:sz w:val="24"/>
          <w:szCs w:val="24"/>
        </w:rPr>
        <w:t>三</w:t>
      </w:r>
      <w:r>
        <w:rPr>
          <w:rFonts w:asciiTheme="minorEastAsia" w:hAnsiTheme="minorEastAsia" w:hint="eastAsia"/>
          <w:sz w:val="24"/>
          <w:szCs w:val="24"/>
        </w:rPr>
        <w:t>日</w:t>
      </w:r>
    </w:p>
    <w:p w:rsidR="00062C61" w:rsidRDefault="00062C61">
      <w:pPr>
        <w:spacing w:line="360" w:lineRule="auto"/>
        <w:ind w:right="220" w:firstLineChars="1950" w:firstLine="4680"/>
        <w:jc w:val="right"/>
        <w:rPr>
          <w:rFonts w:asciiTheme="minorEastAsia" w:hAnsiTheme="minorEastAsia"/>
          <w:sz w:val="24"/>
          <w:szCs w:val="24"/>
        </w:rPr>
      </w:pPr>
    </w:p>
    <w:sectPr w:rsidR="00062C61" w:rsidSect="005805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3B8" w:rsidRDefault="005703B8"/>
  </w:endnote>
  <w:endnote w:type="continuationSeparator" w:id="0">
    <w:p w:rsidR="005703B8" w:rsidRDefault="005703B8"/>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3B8" w:rsidRDefault="005703B8"/>
  </w:footnote>
  <w:footnote w:type="continuationSeparator" w:id="0">
    <w:p w:rsidR="005703B8" w:rsidRDefault="005703B8"/>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jcyN2RkODEzOTRiNjE3YjllYjAxNDU4NWY4ODU3Y2QifQ=="/>
  </w:docVars>
  <w:rsids>
    <w:rsidRoot w:val="00614280"/>
    <w:rsid w:val="00000A0A"/>
    <w:rsid w:val="000205AD"/>
    <w:rsid w:val="00022CCB"/>
    <w:rsid w:val="000268F7"/>
    <w:rsid w:val="000310C1"/>
    <w:rsid w:val="0004028B"/>
    <w:rsid w:val="00046C63"/>
    <w:rsid w:val="00054F97"/>
    <w:rsid w:val="00060205"/>
    <w:rsid w:val="00062C61"/>
    <w:rsid w:val="00077BDF"/>
    <w:rsid w:val="00085BF7"/>
    <w:rsid w:val="00097535"/>
    <w:rsid w:val="000A6F1F"/>
    <w:rsid w:val="000B0E35"/>
    <w:rsid w:val="000C34F1"/>
    <w:rsid w:val="000C785C"/>
    <w:rsid w:val="000D198E"/>
    <w:rsid w:val="000E4994"/>
    <w:rsid w:val="000E73B9"/>
    <w:rsid w:val="00102F3D"/>
    <w:rsid w:val="00105A16"/>
    <w:rsid w:val="00113860"/>
    <w:rsid w:val="00116EBF"/>
    <w:rsid w:val="001205BB"/>
    <w:rsid w:val="00130BAE"/>
    <w:rsid w:val="00132104"/>
    <w:rsid w:val="00140CE7"/>
    <w:rsid w:val="0014367A"/>
    <w:rsid w:val="0014409C"/>
    <w:rsid w:val="001472CD"/>
    <w:rsid w:val="001478B5"/>
    <w:rsid w:val="00157C10"/>
    <w:rsid w:val="00160FA9"/>
    <w:rsid w:val="001678A8"/>
    <w:rsid w:val="00172C1B"/>
    <w:rsid w:val="001732CA"/>
    <w:rsid w:val="00176A8D"/>
    <w:rsid w:val="00187639"/>
    <w:rsid w:val="00187849"/>
    <w:rsid w:val="00190CCD"/>
    <w:rsid w:val="001A2FF5"/>
    <w:rsid w:val="001A411B"/>
    <w:rsid w:val="001A7AAD"/>
    <w:rsid w:val="001D6EB4"/>
    <w:rsid w:val="001D7313"/>
    <w:rsid w:val="001E4FBD"/>
    <w:rsid w:val="001E6C9D"/>
    <w:rsid w:val="001F372A"/>
    <w:rsid w:val="002004A6"/>
    <w:rsid w:val="00202840"/>
    <w:rsid w:val="00202C49"/>
    <w:rsid w:val="00210C7B"/>
    <w:rsid w:val="00212D3A"/>
    <w:rsid w:val="0021411D"/>
    <w:rsid w:val="00214817"/>
    <w:rsid w:val="00216EAB"/>
    <w:rsid w:val="002200D9"/>
    <w:rsid w:val="002254A8"/>
    <w:rsid w:val="002273D3"/>
    <w:rsid w:val="00231D86"/>
    <w:rsid w:val="00241DD3"/>
    <w:rsid w:val="002512B2"/>
    <w:rsid w:val="00254CBC"/>
    <w:rsid w:val="002600DE"/>
    <w:rsid w:val="00267478"/>
    <w:rsid w:val="00272EF3"/>
    <w:rsid w:val="00273FBA"/>
    <w:rsid w:val="00275346"/>
    <w:rsid w:val="00275B81"/>
    <w:rsid w:val="00282B66"/>
    <w:rsid w:val="002864CC"/>
    <w:rsid w:val="00286EB6"/>
    <w:rsid w:val="00292246"/>
    <w:rsid w:val="00293F5D"/>
    <w:rsid w:val="00297505"/>
    <w:rsid w:val="002A15A5"/>
    <w:rsid w:val="002A5EFE"/>
    <w:rsid w:val="002B58DC"/>
    <w:rsid w:val="002C0E0F"/>
    <w:rsid w:val="002C756E"/>
    <w:rsid w:val="002C75BA"/>
    <w:rsid w:val="002C7F61"/>
    <w:rsid w:val="002E1DFF"/>
    <w:rsid w:val="002E7EE7"/>
    <w:rsid w:val="002F5387"/>
    <w:rsid w:val="002F731B"/>
    <w:rsid w:val="00300D65"/>
    <w:rsid w:val="00301225"/>
    <w:rsid w:val="003114B1"/>
    <w:rsid w:val="00311976"/>
    <w:rsid w:val="003204CF"/>
    <w:rsid w:val="00322311"/>
    <w:rsid w:val="00322E95"/>
    <w:rsid w:val="003246BA"/>
    <w:rsid w:val="00333341"/>
    <w:rsid w:val="00334F28"/>
    <w:rsid w:val="003446D7"/>
    <w:rsid w:val="00360D90"/>
    <w:rsid w:val="00364F94"/>
    <w:rsid w:val="0036684C"/>
    <w:rsid w:val="003704CB"/>
    <w:rsid w:val="00370B62"/>
    <w:rsid w:val="00375EF5"/>
    <w:rsid w:val="003914CC"/>
    <w:rsid w:val="003A13D0"/>
    <w:rsid w:val="003B4E3E"/>
    <w:rsid w:val="003B5F21"/>
    <w:rsid w:val="003C2E74"/>
    <w:rsid w:val="003C5A5E"/>
    <w:rsid w:val="003C7FA7"/>
    <w:rsid w:val="003D44AA"/>
    <w:rsid w:val="003D73ED"/>
    <w:rsid w:val="003E1EF8"/>
    <w:rsid w:val="003E3386"/>
    <w:rsid w:val="003E3812"/>
    <w:rsid w:val="003E59EA"/>
    <w:rsid w:val="003E5BFF"/>
    <w:rsid w:val="003F71E0"/>
    <w:rsid w:val="00401C3E"/>
    <w:rsid w:val="0040365E"/>
    <w:rsid w:val="0042038B"/>
    <w:rsid w:val="00426876"/>
    <w:rsid w:val="00442D1F"/>
    <w:rsid w:val="0045357F"/>
    <w:rsid w:val="00454899"/>
    <w:rsid w:val="004553F3"/>
    <w:rsid w:val="004614E4"/>
    <w:rsid w:val="00464B19"/>
    <w:rsid w:val="0047048C"/>
    <w:rsid w:val="00471365"/>
    <w:rsid w:val="00472D9F"/>
    <w:rsid w:val="00472E91"/>
    <w:rsid w:val="00474F2A"/>
    <w:rsid w:val="00490B02"/>
    <w:rsid w:val="00493F9A"/>
    <w:rsid w:val="004A15E8"/>
    <w:rsid w:val="004A51D0"/>
    <w:rsid w:val="004C2DB9"/>
    <w:rsid w:val="004C526F"/>
    <w:rsid w:val="004C5930"/>
    <w:rsid w:val="004D1CA3"/>
    <w:rsid w:val="004E7CE5"/>
    <w:rsid w:val="004F352E"/>
    <w:rsid w:val="00504E96"/>
    <w:rsid w:val="005067A1"/>
    <w:rsid w:val="00511BE8"/>
    <w:rsid w:val="00516E34"/>
    <w:rsid w:val="00517496"/>
    <w:rsid w:val="00517D51"/>
    <w:rsid w:val="005226A8"/>
    <w:rsid w:val="00525E6E"/>
    <w:rsid w:val="005279D9"/>
    <w:rsid w:val="00531F8F"/>
    <w:rsid w:val="0053305A"/>
    <w:rsid w:val="00537333"/>
    <w:rsid w:val="00544EBB"/>
    <w:rsid w:val="0054526E"/>
    <w:rsid w:val="00552EF6"/>
    <w:rsid w:val="005703B8"/>
    <w:rsid w:val="00571405"/>
    <w:rsid w:val="00576BFD"/>
    <w:rsid w:val="00577F47"/>
    <w:rsid w:val="00580557"/>
    <w:rsid w:val="00582F51"/>
    <w:rsid w:val="005852D3"/>
    <w:rsid w:val="005879FF"/>
    <w:rsid w:val="00587C1E"/>
    <w:rsid w:val="005907C2"/>
    <w:rsid w:val="005A50D9"/>
    <w:rsid w:val="005A7F99"/>
    <w:rsid w:val="005C5921"/>
    <w:rsid w:val="005C5B83"/>
    <w:rsid w:val="005D0299"/>
    <w:rsid w:val="005D2B7F"/>
    <w:rsid w:val="005D62FE"/>
    <w:rsid w:val="005E6537"/>
    <w:rsid w:val="005F1D8D"/>
    <w:rsid w:val="005F36E4"/>
    <w:rsid w:val="00614280"/>
    <w:rsid w:val="00620D59"/>
    <w:rsid w:val="00622415"/>
    <w:rsid w:val="00640492"/>
    <w:rsid w:val="00641574"/>
    <w:rsid w:val="00643D49"/>
    <w:rsid w:val="006447BA"/>
    <w:rsid w:val="00646F55"/>
    <w:rsid w:val="00654157"/>
    <w:rsid w:val="00661D88"/>
    <w:rsid w:val="00663982"/>
    <w:rsid w:val="006657C8"/>
    <w:rsid w:val="00667CEF"/>
    <w:rsid w:val="0067146A"/>
    <w:rsid w:val="00676350"/>
    <w:rsid w:val="0068686C"/>
    <w:rsid w:val="00693951"/>
    <w:rsid w:val="00694670"/>
    <w:rsid w:val="006B5373"/>
    <w:rsid w:val="006C2B38"/>
    <w:rsid w:val="006C37C2"/>
    <w:rsid w:val="006C6F5A"/>
    <w:rsid w:val="006C7A9D"/>
    <w:rsid w:val="006D24DA"/>
    <w:rsid w:val="006D4062"/>
    <w:rsid w:val="006D4490"/>
    <w:rsid w:val="006E1655"/>
    <w:rsid w:val="006E26F1"/>
    <w:rsid w:val="006E6B47"/>
    <w:rsid w:val="006F5FD6"/>
    <w:rsid w:val="007000D3"/>
    <w:rsid w:val="00702FC2"/>
    <w:rsid w:val="007034A4"/>
    <w:rsid w:val="00705562"/>
    <w:rsid w:val="007055F8"/>
    <w:rsid w:val="0070587E"/>
    <w:rsid w:val="00706267"/>
    <w:rsid w:val="007075C5"/>
    <w:rsid w:val="00711223"/>
    <w:rsid w:val="00715AD3"/>
    <w:rsid w:val="00721D68"/>
    <w:rsid w:val="0072486F"/>
    <w:rsid w:val="0073234A"/>
    <w:rsid w:val="007370B7"/>
    <w:rsid w:val="00737956"/>
    <w:rsid w:val="00741567"/>
    <w:rsid w:val="00741AE4"/>
    <w:rsid w:val="007458B1"/>
    <w:rsid w:val="0075320E"/>
    <w:rsid w:val="00754131"/>
    <w:rsid w:val="007547A6"/>
    <w:rsid w:val="00762CA4"/>
    <w:rsid w:val="00774805"/>
    <w:rsid w:val="00774D66"/>
    <w:rsid w:val="00780B17"/>
    <w:rsid w:val="00780B86"/>
    <w:rsid w:val="00781796"/>
    <w:rsid w:val="007820A6"/>
    <w:rsid w:val="00786FDD"/>
    <w:rsid w:val="007873C0"/>
    <w:rsid w:val="007A2CBD"/>
    <w:rsid w:val="007A6295"/>
    <w:rsid w:val="007A767E"/>
    <w:rsid w:val="007A778D"/>
    <w:rsid w:val="007C2495"/>
    <w:rsid w:val="007E09BF"/>
    <w:rsid w:val="007E14E0"/>
    <w:rsid w:val="007E59F6"/>
    <w:rsid w:val="007E7433"/>
    <w:rsid w:val="007F0E06"/>
    <w:rsid w:val="007F2F47"/>
    <w:rsid w:val="00800149"/>
    <w:rsid w:val="00811759"/>
    <w:rsid w:val="00812DC7"/>
    <w:rsid w:val="00821B94"/>
    <w:rsid w:val="00830B46"/>
    <w:rsid w:val="00832829"/>
    <w:rsid w:val="0083395B"/>
    <w:rsid w:val="00835B17"/>
    <w:rsid w:val="00836FC1"/>
    <w:rsid w:val="00843594"/>
    <w:rsid w:val="00845F83"/>
    <w:rsid w:val="0085155C"/>
    <w:rsid w:val="0085500F"/>
    <w:rsid w:val="00872BF3"/>
    <w:rsid w:val="00881E65"/>
    <w:rsid w:val="00882B22"/>
    <w:rsid w:val="00884C39"/>
    <w:rsid w:val="008969C2"/>
    <w:rsid w:val="008A4CD1"/>
    <w:rsid w:val="008A59B8"/>
    <w:rsid w:val="008A710A"/>
    <w:rsid w:val="008C49B3"/>
    <w:rsid w:val="008D2970"/>
    <w:rsid w:val="008D415A"/>
    <w:rsid w:val="008E0CD0"/>
    <w:rsid w:val="008F0CA9"/>
    <w:rsid w:val="008F32D9"/>
    <w:rsid w:val="008F682C"/>
    <w:rsid w:val="008F71E3"/>
    <w:rsid w:val="00905A25"/>
    <w:rsid w:val="009101C5"/>
    <w:rsid w:val="009150CF"/>
    <w:rsid w:val="00920249"/>
    <w:rsid w:val="00921954"/>
    <w:rsid w:val="00925975"/>
    <w:rsid w:val="009315BC"/>
    <w:rsid w:val="0093392D"/>
    <w:rsid w:val="009366A5"/>
    <w:rsid w:val="0094154B"/>
    <w:rsid w:val="0095084F"/>
    <w:rsid w:val="00951AB0"/>
    <w:rsid w:val="00951B46"/>
    <w:rsid w:val="009717C3"/>
    <w:rsid w:val="00972DDD"/>
    <w:rsid w:val="00983A9B"/>
    <w:rsid w:val="009858CA"/>
    <w:rsid w:val="00990AE8"/>
    <w:rsid w:val="009B6E37"/>
    <w:rsid w:val="009B74E4"/>
    <w:rsid w:val="009C082A"/>
    <w:rsid w:val="009C37E3"/>
    <w:rsid w:val="009D2F36"/>
    <w:rsid w:val="009D4C9F"/>
    <w:rsid w:val="009D5317"/>
    <w:rsid w:val="009E0C1E"/>
    <w:rsid w:val="009E1F6B"/>
    <w:rsid w:val="009F210B"/>
    <w:rsid w:val="009F5F64"/>
    <w:rsid w:val="009F6366"/>
    <w:rsid w:val="00A00721"/>
    <w:rsid w:val="00A00BE1"/>
    <w:rsid w:val="00A0182D"/>
    <w:rsid w:val="00A02FF7"/>
    <w:rsid w:val="00A12C30"/>
    <w:rsid w:val="00A32C45"/>
    <w:rsid w:val="00A33810"/>
    <w:rsid w:val="00A34222"/>
    <w:rsid w:val="00A34229"/>
    <w:rsid w:val="00A3727B"/>
    <w:rsid w:val="00A41D6C"/>
    <w:rsid w:val="00A41F18"/>
    <w:rsid w:val="00A46F5C"/>
    <w:rsid w:val="00A572E6"/>
    <w:rsid w:val="00A65941"/>
    <w:rsid w:val="00A70707"/>
    <w:rsid w:val="00A86D75"/>
    <w:rsid w:val="00A876F5"/>
    <w:rsid w:val="00A87A21"/>
    <w:rsid w:val="00A912AD"/>
    <w:rsid w:val="00A97BCE"/>
    <w:rsid w:val="00AA62F9"/>
    <w:rsid w:val="00AA7355"/>
    <w:rsid w:val="00AB4A40"/>
    <w:rsid w:val="00AB534C"/>
    <w:rsid w:val="00AB6818"/>
    <w:rsid w:val="00AC08D8"/>
    <w:rsid w:val="00AC0BA0"/>
    <w:rsid w:val="00AC197E"/>
    <w:rsid w:val="00AC45A7"/>
    <w:rsid w:val="00AD7CC4"/>
    <w:rsid w:val="00AF0CE8"/>
    <w:rsid w:val="00AF2CC5"/>
    <w:rsid w:val="00B03119"/>
    <w:rsid w:val="00B06841"/>
    <w:rsid w:val="00B07E7C"/>
    <w:rsid w:val="00B15E67"/>
    <w:rsid w:val="00B16341"/>
    <w:rsid w:val="00B17B2E"/>
    <w:rsid w:val="00B2234C"/>
    <w:rsid w:val="00B32570"/>
    <w:rsid w:val="00B354C1"/>
    <w:rsid w:val="00B361B1"/>
    <w:rsid w:val="00B416B4"/>
    <w:rsid w:val="00B43DCF"/>
    <w:rsid w:val="00B5678F"/>
    <w:rsid w:val="00B6008B"/>
    <w:rsid w:val="00B70499"/>
    <w:rsid w:val="00B71395"/>
    <w:rsid w:val="00B73274"/>
    <w:rsid w:val="00B77138"/>
    <w:rsid w:val="00B80C6A"/>
    <w:rsid w:val="00B86DF5"/>
    <w:rsid w:val="00B87904"/>
    <w:rsid w:val="00BA00E2"/>
    <w:rsid w:val="00BA7977"/>
    <w:rsid w:val="00BB179C"/>
    <w:rsid w:val="00BB18F1"/>
    <w:rsid w:val="00BB4B19"/>
    <w:rsid w:val="00BD52CF"/>
    <w:rsid w:val="00BD6A79"/>
    <w:rsid w:val="00BE0239"/>
    <w:rsid w:val="00BE0941"/>
    <w:rsid w:val="00BE1EC2"/>
    <w:rsid w:val="00C0465B"/>
    <w:rsid w:val="00C124AA"/>
    <w:rsid w:val="00C16034"/>
    <w:rsid w:val="00C30531"/>
    <w:rsid w:val="00C3206A"/>
    <w:rsid w:val="00C32464"/>
    <w:rsid w:val="00C32888"/>
    <w:rsid w:val="00C35D19"/>
    <w:rsid w:val="00C4480C"/>
    <w:rsid w:val="00C5545D"/>
    <w:rsid w:val="00C5608F"/>
    <w:rsid w:val="00C56F56"/>
    <w:rsid w:val="00C60F2A"/>
    <w:rsid w:val="00C66014"/>
    <w:rsid w:val="00C66189"/>
    <w:rsid w:val="00C725E2"/>
    <w:rsid w:val="00C852CA"/>
    <w:rsid w:val="00C9122A"/>
    <w:rsid w:val="00C916D5"/>
    <w:rsid w:val="00C930FC"/>
    <w:rsid w:val="00C95F72"/>
    <w:rsid w:val="00CA268D"/>
    <w:rsid w:val="00CA5BB8"/>
    <w:rsid w:val="00CA6E67"/>
    <w:rsid w:val="00CB104D"/>
    <w:rsid w:val="00CB1557"/>
    <w:rsid w:val="00CB65D2"/>
    <w:rsid w:val="00CC1682"/>
    <w:rsid w:val="00CC273B"/>
    <w:rsid w:val="00CF4CAC"/>
    <w:rsid w:val="00D02BC1"/>
    <w:rsid w:val="00D046A6"/>
    <w:rsid w:val="00D10F60"/>
    <w:rsid w:val="00D250E9"/>
    <w:rsid w:val="00D25650"/>
    <w:rsid w:val="00D2769B"/>
    <w:rsid w:val="00D343C2"/>
    <w:rsid w:val="00D37416"/>
    <w:rsid w:val="00D4113C"/>
    <w:rsid w:val="00D433CC"/>
    <w:rsid w:val="00D53055"/>
    <w:rsid w:val="00D5771D"/>
    <w:rsid w:val="00D6252A"/>
    <w:rsid w:val="00D63DA0"/>
    <w:rsid w:val="00D71F21"/>
    <w:rsid w:val="00D74206"/>
    <w:rsid w:val="00D75AF7"/>
    <w:rsid w:val="00D80396"/>
    <w:rsid w:val="00D86772"/>
    <w:rsid w:val="00D915D4"/>
    <w:rsid w:val="00D91912"/>
    <w:rsid w:val="00DA23CC"/>
    <w:rsid w:val="00DA3A09"/>
    <w:rsid w:val="00DA6326"/>
    <w:rsid w:val="00DB6762"/>
    <w:rsid w:val="00DB6DBF"/>
    <w:rsid w:val="00DB7A65"/>
    <w:rsid w:val="00DC0985"/>
    <w:rsid w:val="00DC0CC4"/>
    <w:rsid w:val="00DD50BA"/>
    <w:rsid w:val="00DD5D8E"/>
    <w:rsid w:val="00DF5396"/>
    <w:rsid w:val="00DF7FC6"/>
    <w:rsid w:val="00E00157"/>
    <w:rsid w:val="00E022A6"/>
    <w:rsid w:val="00E02374"/>
    <w:rsid w:val="00E06254"/>
    <w:rsid w:val="00E0668F"/>
    <w:rsid w:val="00E14D56"/>
    <w:rsid w:val="00E16523"/>
    <w:rsid w:val="00E35A32"/>
    <w:rsid w:val="00E37BF1"/>
    <w:rsid w:val="00E41B81"/>
    <w:rsid w:val="00E479C8"/>
    <w:rsid w:val="00E52C68"/>
    <w:rsid w:val="00E544CF"/>
    <w:rsid w:val="00E54A6D"/>
    <w:rsid w:val="00E55797"/>
    <w:rsid w:val="00E64553"/>
    <w:rsid w:val="00E66B51"/>
    <w:rsid w:val="00E706C6"/>
    <w:rsid w:val="00E71AAC"/>
    <w:rsid w:val="00E8176B"/>
    <w:rsid w:val="00E94D9B"/>
    <w:rsid w:val="00EA489F"/>
    <w:rsid w:val="00EB3168"/>
    <w:rsid w:val="00EB369A"/>
    <w:rsid w:val="00EC271E"/>
    <w:rsid w:val="00EC2A92"/>
    <w:rsid w:val="00EC783D"/>
    <w:rsid w:val="00ED0F92"/>
    <w:rsid w:val="00ED15A1"/>
    <w:rsid w:val="00ED2728"/>
    <w:rsid w:val="00EE1D7E"/>
    <w:rsid w:val="00EE3B95"/>
    <w:rsid w:val="00EE4E00"/>
    <w:rsid w:val="00EF1183"/>
    <w:rsid w:val="00F04C5B"/>
    <w:rsid w:val="00F06FBF"/>
    <w:rsid w:val="00F10AC7"/>
    <w:rsid w:val="00F171FE"/>
    <w:rsid w:val="00F20536"/>
    <w:rsid w:val="00F2600A"/>
    <w:rsid w:val="00F26D79"/>
    <w:rsid w:val="00F42CC9"/>
    <w:rsid w:val="00F44265"/>
    <w:rsid w:val="00F45917"/>
    <w:rsid w:val="00F52388"/>
    <w:rsid w:val="00F55FB8"/>
    <w:rsid w:val="00F6344C"/>
    <w:rsid w:val="00F6439B"/>
    <w:rsid w:val="00F651DD"/>
    <w:rsid w:val="00F67E37"/>
    <w:rsid w:val="00F71741"/>
    <w:rsid w:val="00F75BC2"/>
    <w:rsid w:val="00F96B21"/>
    <w:rsid w:val="00F97290"/>
    <w:rsid w:val="00FA026F"/>
    <w:rsid w:val="00FA0796"/>
    <w:rsid w:val="00FA1203"/>
    <w:rsid w:val="00FA6F2A"/>
    <w:rsid w:val="00FB20FC"/>
    <w:rsid w:val="00FB2B13"/>
    <w:rsid w:val="00FB33B8"/>
    <w:rsid w:val="00FB3EB6"/>
    <w:rsid w:val="00FB60D0"/>
    <w:rsid w:val="00FD5B79"/>
    <w:rsid w:val="00FE78C4"/>
    <w:rsid w:val="00FF0F0C"/>
    <w:rsid w:val="00FF2077"/>
    <w:rsid w:val="00FF27A4"/>
    <w:rsid w:val="07BE1BA4"/>
    <w:rsid w:val="17BF68D5"/>
    <w:rsid w:val="39D018F6"/>
    <w:rsid w:val="3E7A174F"/>
    <w:rsid w:val="5BB65B49"/>
    <w:rsid w:val="641343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5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580557"/>
    <w:pPr>
      <w:jc w:val="left"/>
    </w:pPr>
  </w:style>
  <w:style w:type="paragraph" w:styleId="a4">
    <w:name w:val="Date"/>
    <w:basedOn w:val="a"/>
    <w:next w:val="a"/>
    <w:link w:val="Char0"/>
    <w:uiPriority w:val="99"/>
    <w:semiHidden/>
    <w:unhideWhenUsed/>
    <w:rsid w:val="00580557"/>
    <w:pPr>
      <w:ind w:leftChars="2500" w:left="100"/>
    </w:pPr>
  </w:style>
  <w:style w:type="paragraph" w:styleId="a5">
    <w:name w:val="Balloon Text"/>
    <w:basedOn w:val="a"/>
    <w:link w:val="Char1"/>
    <w:uiPriority w:val="99"/>
    <w:semiHidden/>
    <w:unhideWhenUsed/>
    <w:rsid w:val="00580557"/>
    <w:rPr>
      <w:sz w:val="18"/>
      <w:szCs w:val="18"/>
    </w:rPr>
  </w:style>
  <w:style w:type="paragraph" w:styleId="a6">
    <w:name w:val="footer"/>
    <w:basedOn w:val="a"/>
    <w:link w:val="Char2"/>
    <w:uiPriority w:val="99"/>
    <w:unhideWhenUsed/>
    <w:rsid w:val="00580557"/>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580557"/>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rsid w:val="00580557"/>
    <w:rPr>
      <w:b/>
      <w:bCs/>
    </w:rPr>
  </w:style>
  <w:style w:type="table" w:styleId="a9">
    <w:name w:val="Table Grid"/>
    <w:basedOn w:val="a1"/>
    <w:uiPriority w:val="59"/>
    <w:qFormat/>
    <w:rsid w:val="005805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80557"/>
    <w:rPr>
      <w:color w:val="0000FF" w:themeColor="hyperlink"/>
      <w:u w:val="single"/>
    </w:rPr>
  </w:style>
  <w:style w:type="character" w:styleId="ab">
    <w:name w:val="annotation reference"/>
    <w:basedOn w:val="a0"/>
    <w:uiPriority w:val="99"/>
    <w:semiHidden/>
    <w:unhideWhenUsed/>
    <w:qFormat/>
    <w:rsid w:val="00580557"/>
    <w:rPr>
      <w:sz w:val="21"/>
      <w:szCs w:val="21"/>
    </w:rPr>
  </w:style>
  <w:style w:type="character" w:customStyle="1" w:styleId="Char1">
    <w:name w:val="批注框文本 Char"/>
    <w:basedOn w:val="a0"/>
    <w:link w:val="a5"/>
    <w:uiPriority w:val="99"/>
    <w:semiHidden/>
    <w:rsid w:val="00580557"/>
    <w:rPr>
      <w:sz w:val="18"/>
      <w:szCs w:val="18"/>
    </w:rPr>
  </w:style>
  <w:style w:type="paragraph" w:styleId="ac">
    <w:name w:val="List Paragraph"/>
    <w:basedOn w:val="a"/>
    <w:uiPriority w:val="34"/>
    <w:qFormat/>
    <w:rsid w:val="00580557"/>
    <w:pPr>
      <w:ind w:firstLineChars="200" w:firstLine="420"/>
    </w:pPr>
  </w:style>
  <w:style w:type="character" w:customStyle="1" w:styleId="Char">
    <w:name w:val="批注文字 Char"/>
    <w:basedOn w:val="a0"/>
    <w:link w:val="a3"/>
    <w:uiPriority w:val="99"/>
    <w:semiHidden/>
    <w:rsid w:val="00580557"/>
  </w:style>
  <w:style w:type="character" w:customStyle="1" w:styleId="Char4">
    <w:name w:val="批注主题 Char"/>
    <w:basedOn w:val="Char"/>
    <w:link w:val="a8"/>
    <w:uiPriority w:val="99"/>
    <w:semiHidden/>
    <w:qFormat/>
    <w:rsid w:val="00580557"/>
    <w:rPr>
      <w:b/>
      <w:bCs/>
    </w:rPr>
  </w:style>
  <w:style w:type="character" w:customStyle="1" w:styleId="Char3">
    <w:name w:val="页眉 Char"/>
    <w:basedOn w:val="a0"/>
    <w:link w:val="a7"/>
    <w:uiPriority w:val="99"/>
    <w:qFormat/>
    <w:rsid w:val="00580557"/>
    <w:rPr>
      <w:sz w:val="18"/>
      <w:szCs w:val="18"/>
    </w:rPr>
  </w:style>
  <w:style w:type="character" w:customStyle="1" w:styleId="Char2">
    <w:name w:val="页脚 Char"/>
    <w:basedOn w:val="a0"/>
    <w:link w:val="a6"/>
    <w:uiPriority w:val="99"/>
    <w:rsid w:val="00580557"/>
    <w:rPr>
      <w:sz w:val="18"/>
      <w:szCs w:val="18"/>
    </w:rPr>
  </w:style>
  <w:style w:type="paragraph" w:customStyle="1" w:styleId="1">
    <w:name w:val="修订1"/>
    <w:hidden/>
    <w:uiPriority w:val="99"/>
    <w:unhideWhenUsed/>
    <w:rsid w:val="00580557"/>
    <w:rPr>
      <w:kern w:val="2"/>
      <w:sz w:val="21"/>
      <w:szCs w:val="22"/>
    </w:rPr>
  </w:style>
  <w:style w:type="character" w:customStyle="1" w:styleId="Char0">
    <w:name w:val="日期 Char"/>
    <w:basedOn w:val="a0"/>
    <w:link w:val="a4"/>
    <w:uiPriority w:val="99"/>
    <w:semiHidden/>
    <w:rsid w:val="00580557"/>
    <w:rPr>
      <w:kern w:val="2"/>
      <w:sz w:val="21"/>
      <w:szCs w:val="22"/>
    </w:rPr>
  </w:style>
  <w:style w:type="character" w:customStyle="1" w:styleId="UnresolvedMention">
    <w:name w:val="Unresolved Mention"/>
    <w:basedOn w:val="a0"/>
    <w:uiPriority w:val="99"/>
    <w:semiHidden/>
    <w:unhideWhenUsed/>
    <w:rsid w:val="00D9191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B94D9-B2A4-4FBF-BCF1-8F8C01E1F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3141</Characters>
  <Application>Microsoft Office Word</Application>
  <DocSecurity>4</DocSecurity>
  <Lines>26</Lines>
  <Paragraphs>7</Paragraphs>
  <ScaleCrop>false</ScaleCrop>
  <Company>Microsoft</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肖钦文</dc:creator>
  <cp:lastModifiedBy>ZHONGM</cp:lastModifiedBy>
  <cp:revision>2</cp:revision>
  <cp:lastPrinted>2020-03-11T08:05:00Z</cp:lastPrinted>
  <dcterms:created xsi:type="dcterms:W3CDTF">2024-03-12T16:01:00Z</dcterms:created>
  <dcterms:modified xsi:type="dcterms:W3CDTF">2024-03-12T16:01:00Z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38FE189F982448BDA229746E7A378205_12</vt:lpwstr>
  </property>
</Properties>
</file>