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8F1" w:rsidRDefault="006004C9">
      <w:pPr>
        <w:spacing w:line="360" w:lineRule="auto"/>
        <w:jc w:val="center"/>
        <w:rPr>
          <w:rFonts w:asciiTheme="minorEastAsia" w:hAnsiTheme="minorEastAsia"/>
          <w:b/>
          <w:sz w:val="28"/>
          <w:szCs w:val="28"/>
        </w:rPr>
      </w:pPr>
      <w:r>
        <w:rPr>
          <w:rFonts w:asciiTheme="minorEastAsia" w:hAnsiTheme="minorEastAsia" w:hint="eastAsia"/>
          <w:b/>
          <w:sz w:val="28"/>
          <w:szCs w:val="28"/>
        </w:rPr>
        <w:t>关于华润元大臻选回报混合型证券投资基金</w:t>
      </w:r>
    </w:p>
    <w:p w:rsidR="00B838F1" w:rsidRDefault="006004C9">
      <w:pPr>
        <w:spacing w:line="360" w:lineRule="auto"/>
        <w:jc w:val="center"/>
        <w:rPr>
          <w:rFonts w:asciiTheme="minorEastAsia" w:hAnsiTheme="minorEastAsia"/>
          <w:b/>
          <w:sz w:val="28"/>
          <w:szCs w:val="28"/>
        </w:rPr>
      </w:pPr>
      <w:r>
        <w:rPr>
          <w:rFonts w:asciiTheme="minorEastAsia" w:hAnsiTheme="minorEastAsia" w:hint="eastAsia"/>
          <w:b/>
          <w:sz w:val="28"/>
          <w:szCs w:val="28"/>
        </w:rPr>
        <w:t>基金份额持有人大会（二次召开）表决结果暨决议生效的公告</w:t>
      </w:r>
    </w:p>
    <w:p w:rsidR="00B838F1" w:rsidRDefault="00B838F1">
      <w:pPr>
        <w:spacing w:line="360" w:lineRule="auto"/>
        <w:jc w:val="center"/>
        <w:rPr>
          <w:rFonts w:asciiTheme="minorEastAsia" w:hAnsiTheme="minorEastAsia"/>
          <w:sz w:val="28"/>
          <w:szCs w:val="28"/>
        </w:rPr>
      </w:pP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根据《中华人民共和国证券投资基金法》（以下简称“《基金法》”）、《公开募集证券投资基金运作管理办法》（以下简称“《运作管理办法》”）等法律法规的规定和《华润元大臻选回报混合型证券投资基金基金合同》（以下简称“《基金合同》”）的相关约定，现将华润元大臻选</w:t>
      </w:r>
      <w:bookmarkStart w:id="0" w:name="_GoBack"/>
      <w:bookmarkEnd w:id="0"/>
      <w:r>
        <w:rPr>
          <w:rFonts w:asciiTheme="minorEastAsia" w:hAnsiTheme="minorEastAsia" w:hint="eastAsia"/>
          <w:sz w:val="24"/>
          <w:szCs w:val="28"/>
        </w:rPr>
        <w:t>回报混合型证券投资基金（以下简称“本基金”）基金份额持有人大会（二次召开）的表决结果、决议及相关事项公告如下：</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一、本基金基金份额持有人大会召开情况</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华润元大基金管理有限公司以通讯方式二次召开了本基金基金份额持有人大会，大会投票表决时间自20</w:t>
      </w:r>
      <w:r>
        <w:rPr>
          <w:rFonts w:asciiTheme="minorEastAsia" w:hAnsiTheme="minorEastAsia"/>
          <w:sz w:val="24"/>
          <w:szCs w:val="28"/>
        </w:rPr>
        <w:t>24</w:t>
      </w:r>
      <w:r>
        <w:rPr>
          <w:rFonts w:asciiTheme="minorEastAsia" w:hAnsiTheme="minorEastAsia" w:hint="eastAsia"/>
          <w:sz w:val="24"/>
          <w:szCs w:val="28"/>
        </w:rPr>
        <w:t>年</w:t>
      </w:r>
      <w:r>
        <w:rPr>
          <w:rFonts w:asciiTheme="minorEastAsia" w:hAnsiTheme="minorEastAsia"/>
          <w:sz w:val="24"/>
          <w:szCs w:val="28"/>
        </w:rPr>
        <w:t>2</w:t>
      </w:r>
      <w:r>
        <w:rPr>
          <w:rFonts w:asciiTheme="minorEastAsia" w:hAnsiTheme="minorEastAsia" w:hint="eastAsia"/>
          <w:sz w:val="24"/>
          <w:szCs w:val="28"/>
        </w:rPr>
        <w:t>月</w:t>
      </w:r>
      <w:r>
        <w:rPr>
          <w:rFonts w:asciiTheme="minorEastAsia" w:hAnsiTheme="minorEastAsia"/>
          <w:sz w:val="24"/>
          <w:szCs w:val="28"/>
        </w:rPr>
        <w:t>8</w:t>
      </w:r>
      <w:r>
        <w:rPr>
          <w:rFonts w:asciiTheme="minorEastAsia" w:hAnsiTheme="minorEastAsia" w:hint="eastAsia"/>
          <w:sz w:val="24"/>
          <w:szCs w:val="28"/>
        </w:rPr>
        <w:t>日起至20</w:t>
      </w:r>
      <w:r>
        <w:rPr>
          <w:rFonts w:asciiTheme="minorEastAsia" w:hAnsiTheme="minorEastAsia"/>
          <w:sz w:val="24"/>
          <w:szCs w:val="28"/>
        </w:rPr>
        <w:t>24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11</w:t>
      </w:r>
      <w:r>
        <w:rPr>
          <w:rFonts w:asciiTheme="minorEastAsia" w:hAnsiTheme="minorEastAsia" w:hint="eastAsia"/>
          <w:sz w:val="24"/>
          <w:szCs w:val="28"/>
        </w:rPr>
        <w:t>日17：00止，会议审议了《关于终止华润元大臻选回报混合型证券投资基金基金合同有关事项的议案》。20</w:t>
      </w:r>
      <w:r>
        <w:rPr>
          <w:rFonts w:asciiTheme="minorEastAsia" w:hAnsiTheme="minorEastAsia"/>
          <w:sz w:val="24"/>
          <w:szCs w:val="28"/>
        </w:rPr>
        <w:t>24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12</w:t>
      </w:r>
      <w:r>
        <w:rPr>
          <w:rFonts w:asciiTheme="minorEastAsia" w:hAnsiTheme="minorEastAsia" w:hint="eastAsia"/>
          <w:sz w:val="24"/>
          <w:szCs w:val="28"/>
        </w:rPr>
        <w:t>日，本基金管理人华润元大基金管理有限公司在本基金的基金托管人中泰证券股份有限公司授权代表的监督下，对本次大会表决进行了计票，深圳市深圳公证处对计票过程及结果进行了公证，北京金诚同达（深圳）律师事务所对计票过程及结果进行了见证。</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经统计，本基金基金份额持有人大会权益登记日当天，本基金总份额为</w:t>
      </w:r>
      <w:r>
        <w:rPr>
          <w:rFonts w:asciiTheme="minorEastAsia" w:hAnsiTheme="minorEastAsia"/>
          <w:sz w:val="24"/>
          <w:szCs w:val="24"/>
        </w:rPr>
        <w:t>590,777.85</w:t>
      </w:r>
      <w:r>
        <w:rPr>
          <w:rFonts w:asciiTheme="minorEastAsia" w:hAnsiTheme="minorEastAsia" w:hint="eastAsia"/>
          <w:sz w:val="24"/>
          <w:szCs w:val="28"/>
        </w:rPr>
        <w:t>份，出席本次基金份额持有人大会的基金份额持有人或其代理人所持有的基金份额为</w:t>
      </w:r>
      <w:r>
        <w:rPr>
          <w:rFonts w:asciiTheme="minorEastAsia" w:hAnsiTheme="minorEastAsia"/>
          <w:sz w:val="24"/>
          <w:szCs w:val="24"/>
        </w:rPr>
        <w:t>257,986.50</w:t>
      </w:r>
      <w:r>
        <w:rPr>
          <w:rFonts w:asciiTheme="minorEastAsia" w:hAnsiTheme="minorEastAsia" w:hint="eastAsia"/>
          <w:sz w:val="24"/>
          <w:szCs w:val="28"/>
        </w:rPr>
        <w:t>份，占权益登记日基金总份额的</w:t>
      </w:r>
      <w:r>
        <w:rPr>
          <w:rFonts w:asciiTheme="minorEastAsia" w:hAnsiTheme="minorEastAsia"/>
          <w:sz w:val="24"/>
          <w:szCs w:val="24"/>
        </w:rPr>
        <w:t>43.67%</w:t>
      </w:r>
      <w:r>
        <w:rPr>
          <w:rFonts w:asciiTheme="minorEastAsia" w:hAnsiTheme="minorEastAsia" w:hint="eastAsia"/>
          <w:sz w:val="24"/>
          <w:szCs w:val="28"/>
        </w:rPr>
        <w:t>，参加本次大会的本基金份额持有人或其代理人所持有的基金份额已经超过权益登记日基金总份额的三分之一以上（含三分之一），达到二次召开基金份额持有人大会的法定条件，符合《基金法》、《运作管理办法》和《基金合同》的有关持有人大会（通讯方式）的规定。</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本次持有人大会的表决结果为：同意票所代表的基金份额为</w:t>
      </w:r>
      <w:r>
        <w:rPr>
          <w:rFonts w:asciiTheme="minorEastAsia" w:hAnsiTheme="minorEastAsia"/>
          <w:sz w:val="24"/>
          <w:szCs w:val="24"/>
        </w:rPr>
        <w:t>257,986.50</w:t>
      </w:r>
      <w:r>
        <w:rPr>
          <w:rFonts w:asciiTheme="minorEastAsia" w:hAnsiTheme="minorEastAsia" w:hint="eastAsia"/>
          <w:sz w:val="24"/>
          <w:szCs w:val="28"/>
        </w:rPr>
        <w:t>份，占出席会议的基金份额持有人或其代理人所代表的基金份额总数的100%；反对票所代表的基金份额为0份，占出席会议的基金份额持有人或其代理人所代表的基金份额总数的0%；弃权票所代表的基金份额为0份，占出席会议的基金份额持有人或其代理人所代表的基金份额总数的0%。同意本次会议议案的基金份额</w:t>
      </w:r>
      <w:r>
        <w:rPr>
          <w:rFonts w:asciiTheme="minorEastAsia" w:hAnsiTheme="minorEastAsia" w:hint="eastAsia"/>
          <w:sz w:val="24"/>
          <w:szCs w:val="28"/>
        </w:rPr>
        <w:lastRenderedPageBreak/>
        <w:t>占出具有效书面表决意见的基金份额持有人或其代理人所代表的基金份额的三分之二以上，达到《基金法》、《运作管理办法》和《基金合同》规定的决议生效条件，本次会议议案获得通过。</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本次基金份额持有人大会费用包括公证费10000元、律师费1</w:t>
      </w:r>
      <w:r>
        <w:rPr>
          <w:rFonts w:asciiTheme="minorEastAsia" w:hAnsiTheme="minorEastAsia"/>
          <w:sz w:val="24"/>
          <w:szCs w:val="28"/>
        </w:rPr>
        <w:t>0000</w:t>
      </w:r>
      <w:r>
        <w:rPr>
          <w:rFonts w:asciiTheme="minorEastAsia" w:hAnsiTheme="minorEastAsia" w:hint="eastAsia"/>
          <w:sz w:val="24"/>
          <w:szCs w:val="28"/>
        </w:rPr>
        <w:t>元，前述持有人大会费用由基金管理人承担。</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二、基金份额持有人大会决议生效情况</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根据《运作管理办法》的规定，基金份额持有人大会决定的事项自表决通过之日起生效，本次基金份额持有人大会通过的</w:t>
      </w:r>
      <w:bookmarkStart w:id="1" w:name="_Hlk161133294"/>
      <w:r>
        <w:rPr>
          <w:rFonts w:asciiTheme="minorEastAsia" w:hAnsiTheme="minorEastAsia" w:hint="eastAsia"/>
          <w:sz w:val="24"/>
          <w:szCs w:val="28"/>
        </w:rPr>
        <w:t>《关于终止华润元大臻选回报混合型证券投资基金基金合同有关事项的议案》</w:t>
      </w:r>
      <w:bookmarkEnd w:id="1"/>
      <w:r>
        <w:rPr>
          <w:rFonts w:asciiTheme="minorEastAsia" w:hAnsiTheme="minorEastAsia" w:hint="eastAsia"/>
          <w:sz w:val="24"/>
          <w:szCs w:val="28"/>
        </w:rPr>
        <w:t>自202</w:t>
      </w:r>
      <w:r>
        <w:rPr>
          <w:rFonts w:asciiTheme="minorEastAsia" w:hAnsiTheme="minorEastAsia"/>
          <w:sz w:val="24"/>
          <w:szCs w:val="28"/>
        </w:rPr>
        <w:t>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12</w:t>
      </w:r>
      <w:r>
        <w:rPr>
          <w:rFonts w:asciiTheme="minorEastAsia" w:hAnsiTheme="minorEastAsia" w:hint="eastAsia"/>
          <w:sz w:val="24"/>
          <w:szCs w:val="28"/>
        </w:rPr>
        <w:t>日起生效。基金管理人将自表决通过之日起5日内将表决通过的事项报中国证券监督管理委员会（以下简称“中国证监会”）备案。</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三、《华润元大臻选回报混合型证券投资基金基金合同》终止的后续安排</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（一）决议生效后相关业务的办理情况</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本次基金份额持有人大会决议生效后，根据《基金合同》、会议通过的议案及《关于终止华润元大臻选回报混合型证券投资基金基金合同有关事项的说明》，本次持有人大会决议生效后，本基金将在进入清算程序前安排不少于3个交易日的选择期以供基金份额持有人选择赎回。</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本基金自202</w:t>
      </w:r>
      <w:r>
        <w:rPr>
          <w:rFonts w:asciiTheme="minorEastAsia" w:hAnsiTheme="minorEastAsia"/>
          <w:sz w:val="24"/>
          <w:szCs w:val="28"/>
        </w:rPr>
        <w:t>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13</w:t>
      </w:r>
      <w:r>
        <w:rPr>
          <w:rFonts w:asciiTheme="minorEastAsia" w:hAnsiTheme="minorEastAsia" w:hint="eastAsia"/>
          <w:sz w:val="24"/>
          <w:szCs w:val="28"/>
        </w:rPr>
        <w:t>日至202</w:t>
      </w:r>
      <w:r>
        <w:rPr>
          <w:rFonts w:asciiTheme="minorEastAsia" w:hAnsiTheme="minorEastAsia"/>
          <w:sz w:val="24"/>
          <w:szCs w:val="28"/>
        </w:rPr>
        <w:t>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15</w:t>
      </w:r>
      <w:r>
        <w:rPr>
          <w:rFonts w:asciiTheme="minorEastAsia" w:hAnsiTheme="minorEastAsia" w:hint="eastAsia"/>
          <w:sz w:val="24"/>
          <w:szCs w:val="28"/>
        </w:rPr>
        <w:t>日为赎回选择期。选择期期间，本基金将仅开放基金份额赎回，申购、定期定额投资等其他业务均已停止办理。选择期期间，为确保基金份额持有人的赎回选择权，本基金豁免相关投资组合比例及限制要求。对于在选择期内未作出选择的基金份额持有人，其持有的基金份额将进入清算程序。本基金的基金份额持有人在赎回选择期内选择赎回本基金基金份额的，仍将按照本基金招募说明书中列示的赎回费率以及销售机构的相关费率优惠活动支付赎回费。</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根据本基金招募说明书中列示，本基金采用份额赎回的方式，A类基金份额和C类基金份额的赎回费率如下表：</w:t>
      </w:r>
    </w:p>
    <w:tbl>
      <w:tblPr>
        <w:tblW w:w="7905" w:type="dxa"/>
        <w:jc w:val="right"/>
        <w:tblBorders>
          <w:top w:val="outset" w:sz="4" w:space="0" w:color="auto"/>
          <w:left w:val="outset" w:sz="4" w:space="0" w:color="auto"/>
          <w:bottom w:val="outset" w:sz="4" w:space="0" w:color="auto"/>
          <w:right w:val="outset" w:sz="4" w:space="0" w:color="auto"/>
        </w:tblBorders>
        <w:tblLayout w:type="fixed"/>
        <w:tblCellMar>
          <w:left w:w="0" w:type="dxa"/>
          <w:right w:w="0" w:type="dxa"/>
        </w:tblCellMar>
        <w:tblLook w:val="04A0"/>
      </w:tblPr>
      <w:tblGrid>
        <w:gridCol w:w="3804"/>
        <w:gridCol w:w="4101"/>
      </w:tblGrid>
      <w:tr w:rsidR="00B838F1">
        <w:trPr>
          <w:jc w:val="right"/>
        </w:trPr>
        <w:tc>
          <w:tcPr>
            <w:tcW w:w="790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838F1" w:rsidRDefault="006004C9">
            <w:pPr>
              <w:spacing w:line="360" w:lineRule="auto"/>
              <w:jc w:val="center"/>
              <w:rPr>
                <w:rFonts w:asciiTheme="minorEastAsia" w:hAnsiTheme="minorEastAsia"/>
                <w:bCs/>
                <w:sz w:val="24"/>
              </w:rPr>
            </w:pPr>
            <w:r>
              <w:rPr>
                <w:rFonts w:asciiTheme="minorEastAsia" w:hAnsiTheme="minorEastAsia"/>
                <w:b/>
                <w:sz w:val="24"/>
              </w:rPr>
              <w:t>A类基金份额</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持有天数（N）</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赎回费率​</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N&lt;7日</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1.50%</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lastRenderedPageBreak/>
              <w:t>7日≤N&lt;30日</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0.75%</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30日≤N&lt;365日</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0.50%</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365日≤N</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0.00%</w:t>
            </w:r>
          </w:p>
        </w:tc>
      </w:tr>
      <w:tr w:rsidR="00B838F1">
        <w:trPr>
          <w:jc w:val="right"/>
        </w:trPr>
        <w:tc>
          <w:tcPr>
            <w:tcW w:w="790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
                <w:sz w:val="24"/>
              </w:rPr>
              <w:t>C类基金份额</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持有天数（N）</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赎回费率​</w:t>
            </w:r>
          </w:p>
        </w:tc>
      </w:tr>
      <w:tr w:rsidR="00B838F1">
        <w:trPr>
          <w:trHeight w:val="297"/>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N&lt;7日</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1.50%</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7日≤N&lt;30日</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0.50%</w:t>
            </w:r>
          </w:p>
        </w:tc>
      </w:tr>
      <w:tr w:rsidR="00B838F1">
        <w:trPr>
          <w:jc w:val="right"/>
        </w:trPr>
        <w:tc>
          <w:tcPr>
            <w:tcW w:w="3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30日≤N</w:t>
            </w:r>
          </w:p>
        </w:tc>
        <w:tc>
          <w:tcPr>
            <w:tcW w:w="41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838F1" w:rsidRDefault="006004C9">
            <w:pPr>
              <w:spacing w:line="360" w:lineRule="auto"/>
              <w:jc w:val="center"/>
              <w:rPr>
                <w:rFonts w:asciiTheme="minorEastAsia" w:hAnsiTheme="minorEastAsia"/>
                <w:bCs/>
                <w:sz w:val="24"/>
              </w:rPr>
            </w:pPr>
            <w:r>
              <w:rPr>
                <w:rFonts w:asciiTheme="minorEastAsia" w:hAnsiTheme="minorEastAsia"/>
                <w:bCs/>
                <w:sz w:val="24"/>
              </w:rPr>
              <w:t>0.00%</w:t>
            </w:r>
          </w:p>
        </w:tc>
      </w:tr>
    </w:tbl>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对持续持有期少于30日的投资人收取的赎回费全额计入基金财产；对持续持有期长于30日但少于90日的投资人收取的赎回费总额的75%计入基金财产；对持续持有期长于90日但少于180日的投资人收取的赎回费总额的50%计入基金财产；对持续持有期长于180日的投资人，应当将不低于赎回费总额的25%计入基金财产。</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赎回选择期最后一日202</w:t>
      </w:r>
      <w:r>
        <w:rPr>
          <w:rFonts w:asciiTheme="minorEastAsia" w:hAnsiTheme="minorEastAsia"/>
          <w:sz w:val="24"/>
          <w:szCs w:val="28"/>
        </w:rPr>
        <w:t>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15</w:t>
      </w:r>
      <w:r>
        <w:rPr>
          <w:rFonts w:asciiTheme="minorEastAsia" w:hAnsiTheme="minorEastAsia" w:hint="eastAsia"/>
          <w:sz w:val="24"/>
          <w:szCs w:val="28"/>
        </w:rPr>
        <w:t>日为本基金最后运作日，本基金将从202</w:t>
      </w:r>
      <w:r>
        <w:rPr>
          <w:rFonts w:asciiTheme="minorEastAsia" w:hAnsiTheme="minorEastAsia"/>
          <w:sz w:val="24"/>
          <w:szCs w:val="28"/>
        </w:rPr>
        <w:t>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16</w:t>
      </w:r>
      <w:r>
        <w:rPr>
          <w:rFonts w:asciiTheme="minorEastAsia" w:hAnsiTheme="minorEastAsia" w:hint="eastAsia"/>
          <w:sz w:val="24"/>
          <w:szCs w:val="28"/>
        </w:rPr>
        <w:t>日起进入清算期。本基金自进入清算期之日起，基金管理人不再接受投资者提出的赎回申请，本基金的申购业务不再恢复，本基金亦不再收取基金管理费、基金托管费和基金销售服务费。基金管理人将按照《基金合同》的约定，组织成立基金财产清算小组履行基金财产清算程序，并及时予以公告。</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（二）基金财产清算程序</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1、基金财产清算小组：本基金进入清算程序后的30个工作日内组织成立基金财产清算小组，基金财产清算小组在中国证监会的监督下，进行基金财产的清算。</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2、基金财产清算小组的组成：基金财产清算小组成员由基金管理人、基金托管人、符合《中华人民共和国证券法》规定</w:t>
      </w:r>
      <w:r>
        <w:rPr>
          <w:rFonts w:asciiTheme="minorEastAsia" w:hAnsiTheme="minorEastAsia"/>
          <w:sz w:val="24"/>
          <w:szCs w:val="24"/>
        </w:rPr>
        <w:t>的注册会计师</w:t>
      </w:r>
      <w:r>
        <w:rPr>
          <w:rFonts w:asciiTheme="minorEastAsia" w:hAnsiTheme="minorEastAsia" w:hint="eastAsia"/>
          <w:sz w:val="24"/>
          <w:szCs w:val="24"/>
        </w:rPr>
        <w:t>、律师以及中国证监会指定的人员组成。基金财产清算小组可以聘请必要的工作人员。</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3、基金财产清算小组的职责：基金财产清算小组负责基金财产的保管、清理、估价、变现和分配。基金财产清算小组可以进行必要的民事活动。</w:t>
      </w:r>
    </w:p>
    <w:p w:rsidR="00B838F1" w:rsidRDefault="006004C9">
      <w:pPr>
        <w:spacing w:line="360" w:lineRule="auto"/>
        <w:ind w:firstLine="482"/>
        <w:rPr>
          <w:rFonts w:asciiTheme="minorEastAsia" w:hAnsiTheme="minorEastAsia"/>
          <w:sz w:val="24"/>
          <w:szCs w:val="24"/>
        </w:rPr>
      </w:pPr>
      <w:r>
        <w:rPr>
          <w:rFonts w:asciiTheme="minorEastAsia" w:hAnsiTheme="minorEastAsia"/>
          <w:sz w:val="24"/>
          <w:szCs w:val="24"/>
        </w:rPr>
        <w:t>4、基金财产清算程序</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1）《基金合同》终止情形出现时，由基金财产清算小组统一接管基金；</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2）对基金财产和债权债务进行清理和确认；</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3）对基金财产进行估值和变现；</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4）制作清算报告；</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5）聘请会计师事务所对清算报告进行外部审计，聘请律师事务所对清算报告出具法律意见书；</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6）将清算报告报中国证监会备案并公告；</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7）对基金剩余财产进行分配。</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5、基金财产清算的期限为6个月，但因本基金所持证券的流动性受到限制而不能及时变现的，清算期限可相应顺延。</w:t>
      </w:r>
    </w:p>
    <w:p w:rsidR="00B838F1" w:rsidRDefault="006004C9">
      <w:pPr>
        <w:spacing w:line="360" w:lineRule="auto"/>
        <w:ind w:firstLine="482"/>
        <w:rPr>
          <w:rFonts w:asciiTheme="minorEastAsia" w:hAnsiTheme="minorEastAsia"/>
          <w:sz w:val="24"/>
          <w:szCs w:val="24"/>
        </w:rPr>
      </w:pPr>
      <w:r>
        <w:rPr>
          <w:rFonts w:asciiTheme="minorEastAsia" w:hAnsiTheme="minorEastAsia"/>
          <w:sz w:val="24"/>
          <w:szCs w:val="24"/>
        </w:rPr>
        <w:t>6</w:t>
      </w:r>
      <w:r>
        <w:rPr>
          <w:rFonts w:asciiTheme="minorEastAsia" w:hAnsiTheme="minorEastAsia" w:hint="eastAsia"/>
          <w:sz w:val="24"/>
          <w:szCs w:val="24"/>
        </w:rPr>
        <w:t>、清算费用</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 xml:space="preserve">清算费用是指基金财产清算小组在进行基金财产清算过程中发生的所有合理费用。本基金的清算费用由基金财产清算小组优先从基金财产中支付。  </w:t>
      </w:r>
    </w:p>
    <w:p w:rsidR="00B838F1" w:rsidRDefault="006004C9">
      <w:pPr>
        <w:spacing w:line="360" w:lineRule="auto"/>
        <w:ind w:firstLine="482"/>
        <w:rPr>
          <w:rFonts w:asciiTheme="minorEastAsia" w:hAnsiTheme="minorEastAsia"/>
          <w:sz w:val="24"/>
          <w:szCs w:val="24"/>
        </w:rPr>
      </w:pPr>
      <w:r>
        <w:rPr>
          <w:rFonts w:asciiTheme="minorEastAsia" w:hAnsiTheme="minorEastAsia"/>
          <w:sz w:val="24"/>
          <w:szCs w:val="24"/>
        </w:rPr>
        <w:t>7</w:t>
      </w:r>
      <w:r>
        <w:rPr>
          <w:rFonts w:asciiTheme="minorEastAsia" w:hAnsiTheme="minorEastAsia" w:hint="eastAsia"/>
          <w:sz w:val="24"/>
          <w:szCs w:val="24"/>
        </w:rPr>
        <w:t>、基金财产清算剩余资产的分配</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本基金清算后全部剩余资产扣除基金财产清算费用、缴纳所欠税款并清偿基金债务后，按基金份额持有人持有的基金份额比例进行分配。</w:t>
      </w:r>
    </w:p>
    <w:p w:rsidR="00B838F1" w:rsidRDefault="006004C9">
      <w:pPr>
        <w:spacing w:line="360" w:lineRule="auto"/>
        <w:ind w:firstLine="482"/>
        <w:rPr>
          <w:rFonts w:asciiTheme="minorEastAsia" w:hAnsiTheme="minorEastAsia"/>
          <w:sz w:val="24"/>
          <w:szCs w:val="24"/>
        </w:rPr>
      </w:pPr>
      <w:r>
        <w:rPr>
          <w:rFonts w:asciiTheme="minorEastAsia" w:hAnsiTheme="minorEastAsia"/>
          <w:sz w:val="24"/>
          <w:szCs w:val="24"/>
        </w:rPr>
        <w:t>8</w:t>
      </w:r>
      <w:r>
        <w:rPr>
          <w:rFonts w:asciiTheme="minorEastAsia" w:hAnsiTheme="minorEastAsia" w:hint="eastAsia"/>
          <w:sz w:val="24"/>
          <w:szCs w:val="24"/>
        </w:rPr>
        <w:t>、基金财产清算公告</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清算过程中的有关重大事项须及时公告；基金财产清算报告经符合《中华人民共和国证券法》规定的会计师事务所审计并由律师事务所出具法律意见书后报中国证监会备案并公告。基金财产清算公告于基金财产清算报告报中国证监会备案后5个工作日内由基金财产清算小组进行公告，基金财产清算小组应当将清算报告登载在规定网站上，并将清算报告提示性公告登载在规定报刊上。</w:t>
      </w:r>
    </w:p>
    <w:p w:rsidR="00B838F1" w:rsidRDefault="006004C9">
      <w:pPr>
        <w:spacing w:line="360" w:lineRule="auto"/>
        <w:ind w:firstLine="482"/>
        <w:rPr>
          <w:sz w:val="24"/>
          <w:szCs w:val="24"/>
        </w:rPr>
      </w:pPr>
      <w:r>
        <w:rPr>
          <w:rFonts w:asciiTheme="minorEastAsia" w:hAnsiTheme="minorEastAsia"/>
          <w:sz w:val="24"/>
          <w:szCs w:val="24"/>
        </w:rPr>
        <w:t>9</w:t>
      </w:r>
      <w:r>
        <w:rPr>
          <w:rFonts w:asciiTheme="minorEastAsia" w:hAnsiTheme="minorEastAsia" w:hint="eastAsia"/>
          <w:sz w:val="24"/>
          <w:szCs w:val="24"/>
        </w:rPr>
        <w:t>、基金财产清算账册及文件的保存</w:t>
      </w:r>
    </w:p>
    <w:p w:rsidR="00B838F1" w:rsidRDefault="006004C9">
      <w:pPr>
        <w:spacing w:line="360" w:lineRule="auto"/>
        <w:ind w:firstLine="482"/>
        <w:rPr>
          <w:rFonts w:asciiTheme="minorEastAsia" w:hAnsiTheme="minorEastAsia"/>
          <w:sz w:val="24"/>
          <w:szCs w:val="24"/>
        </w:rPr>
      </w:pPr>
      <w:r>
        <w:rPr>
          <w:rFonts w:asciiTheme="minorEastAsia" w:hAnsiTheme="minorEastAsia" w:hint="eastAsia"/>
          <w:sz w:val="24"/>
          <w:szCs w:val="24"/>
        </w:rPr>
        <w:t>基金财产清算账册及有关文件由基金托管人保存不低于法律法规规定的最低期限。</w:t>
      </w:r>
    </w:p>
    <w:p w:rsidR="00B838F1" w:rsidRDefault="006004C9">
      <w:pPr>
        <w:spacing w:line="360" w:lineRule="auto"/>
        <w:ind w:firstLine="482"/>
        <w:rPr>
          <w:rFonts w:asciiTheme="minorEastAsia" w:hAnsiTheme="minorEastAsia"/>
          <w:sz w:val="24"/>
          <w:szCs w:val="28"/>
        </w:rPr>
      </w:pPr>
      <w:r>
        <w:rPr>
          <w:rFonts w:asciiTheme="minorEastAsia" w:hAnsiTheme="minorEastAsia" w:hint="eastAsia"/>
          <w:sz w:val="24"/>
          <w:szCs w:val="28"/>
        </w:rPr>
        <w:t>四、备查文件</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1、华润元大基金管理有限公司关于以通讯方式二次召开华润元大臻选回报混合型证券投资基金基金份额持有人大会的公告；</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2、华润元大基金管理有限公司关于以通讯方式二次召开华润元大臻选回报混合型证券投资基金基金份额持有人大会的第一次提示性公告；</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3、华润元大基金管理有限公司关于以通讯方式二次召开华润元大臻选回报混合型证券投资基金基金份额持有人大会的第二次提示性公告；</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4、公证书；</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5、北京金诚同达（深圳）律师事务关于华润元大臻选回报混合型证券投资基金基金份额持有人大会的法律意见书。</w:t>
      </w: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hint="eastAsia"/>
          <w:sz w:val="24"/>
          <w:szCs w:val="28"/>
        </w:rPr>
        <w:t>特此公告。</w:t>
      </w:r>
    </w:p>
    <w:p w:rsidR="00B838F1" w:rsidRDefault="00B838F1">
      <w:pPr>
        <w:spacing w:line="360" w:lineRule="auto"/>
        <w:ind w:firstLineChars="200" w:firstLine="480"/>
        <w:rPr>
          <w:rFonts w:asciiTheme="minorEastAsia" w:hAnsiTheme="minorEastAsia"/>
          <w:sz w:val="24"/>
          <w:szCs w:val="28"/>
        </w:rPr>
      </w:pPr>
    </w:p>
    <w:p w:rsidR="00B838F1" w:rsidRDefault="006004C9">
      <w:pPr>
        <w:spacing w:line="360" w:lineRule="auto"/>
        <w:ind w:firstLineChars="200" w:firstLine="480"/>
        <w:rPr>
          <w:rFonts w:asciiTheme="minorEastAsia" w:hAnsiTheme="minorEastAsia"/>
          <w:sz w:val="24"/>
          <w:szCs w:val="28"/>
        </w:rPr>
      </w:pPr>
      <w:r>
        <w:rPr>
          <w:rFonts w:asciiTheme="minorEastAsia" w:hAnsiTheme="minorEastAsia"/>
          <w:sz w:val="24"/>
          <w:szCs w:val="28"/>
        </w:rPr>
        <w:t>附件</w:t>
      </w:r>
      <w:r>
        <w:rPr>
          <w:rFonts w:asciiTheme="minorEastAsia" w:hAnsiTheme="minorEastAsia" w:hint="eastAsia"/>
          <w:sz w:val="24"/>
          <w:szCs w:val="28"/>
        </w:rPr>
        <w:t>：《公证书》</w:t>
      </w:r>
    </w:p>
    <w:p w:rsidR="00B838F1" w:rsidRDefault="00B838F1">
      <w:pPr>
        <w:spacing w:line="360" w:lineRule="auto"/>
        <w:ind w:firstLineChars="200" w:firstLine="480"/>
        <w:rPr>
          <w:rFonts w:asciiTheme="minorEastAsia" w:hAnsiTheme="minorEastAsia"/>
          <w:sz w:val="24"/>
          <w:szCs w:val="28"/>
        </w:rPr>
      </w:pPr>
    </w:p>
    <w:p w:rsidR="00B838F1" w:rsidRDefault="006004C9">
      <w:pPr>
        <w:spacing w:line="360" w:lineRule="auto"/>
        <w:ind w:firstLineChars="200" w:firstLine="480"/>
        <w:jc w:val="right"/>
        <w:rPr>
          <w:rFonts w:asciiTheme="minorEastAsia" w:hAnsiTheme="minorEastAsia"/>
          <w:sz w:val="24"/>
          <w:szCs w:val="28"/>
        </w:rPr>
      </w:pPr>
      <w:r>
        <w:rPr>
          <w:rFonts w:asciiTheme="minorEastAsia" w:hAnsiTheme="minorEastAsia" w:hint="eastAsia"/>
          <w:sz w:val="24"/>
          <w:szCs w:val="28"/>
        </w:rPr>
        <w:t>华润元大基金管理有限公司</w:t>
      </w:r>
    </w:p>
    <w:p w:rsidR="00B838F1" w:rsidRDefault="006004C9">
      <w:pPr>
        <w:spacing w:line="360" w:lineRule="auto"/>
        <w:ind w:firstLineChars="200" w:firstLine="480"/>
        <w:jc w:val="right"/>
        <w:rPr>
          <w:rFonts w:asciiTheme="minorEastAsia" w:hAnsiTheme="minorEastAsia"/>
          <w:sz w:val="24"/>
          <w:szCs w:val="28"/>
        </w:rPr>
      </w:pPr>
      <w:r>
        <w:rPr>
          <w:rFonts w:asciiTheme="minorEastAsia" w:hAnsiTheme="minorEastAsia" w:hint="eastAsia"/>
          <w:sz w:val="24"/>
          <w:szCs w:val="28"/>
        </w:rPr>
        <w:t>20</w:t>
      </w:r>
      <w:r>
        <w:rPr>
          <w:rFonts w:asciiTheme="minorEastAsia" w:hAnsiTheme="minorEastAsia"/>
          <w:sz w:val="24"/>
          <w:szCs w:val="28"/>
        </w:rPr>
        <w:t>24</w:t>
      </w:r>
      <w:r>
        <w:rPr>
          <w:rFonts w:asciiTheme="minorEastAsia" w:hAnsiTheme="minorEastAsia" w:hint="eastAsia"/>
          <w:sz w:val="24"/>
          <w:szCs w:val="28"/>
        </w:rPr>
        <w:t>年</w:t>
      </w:r>
      <w:r>
        <w:rPr>
          <w:rFonts w:asciiTheme="minorEastAsia" w:hAnsiTheme="minorEastAsia"/>
          <w:sz w:val="24"/>
          <w:szCs w:val="28"/>
        </w:rPr>
        <w:t>3</w:t>
      </w:r>
      <w:r>
        <w:rPr>
          <w:rFonts w:asciiTheme="minorEastAsia" w:hAnsiTheme="minorEastAsia" w:hint="eastAsia"/>
          <w:sz w:val="24"/>
          <w:szCs w:val="28"/>
        </w:rPr>
        <w:t>月</w:t>
      </w:r>
      <w:r>
        <w:rPr>
          <w:rFonts w:asciiTheme="minorEastAsia" w:hAnsiTheme="minorEastAsia"/>
          <w:sz w:val="24"/>
          <w:szCs w:val="28"/>
        </w:rPr>
        <w:t>13</w:t>
      </w:r>
      <w:r>
        <w:rPr>
          <w:rFonts w:asciiTheme="minorEastAsia" w:hAnsiTheme="minorEastAsia" w:hint="eastAsia"/>
          <w:sz w:val="24"/>
          <w:szCs w:val="28"/>
        </w:rPr>
        <w:t>日</w:t>
      </w:r>
    </w:p>
    <w:p w:rsidR="00B838F1" w:rsidRDefault="006004C9">
      <w:pPr>
        <w:widowControl/>
        <w:jc w:val="left"/>
      </w:pPr>
      <w:r>
        <w:br w:type="page"/>
      </w:r>
    </w:p>
    <w:p w:rsidR="00B838F1" w:rsidRDefault="004C185A">
      <w:r>
        <w:rPr>
          <w:noProof/>
        </w:rPr>
        <w:pict>
          <v:shapetype id="_x0000_t202" coordsize="21600,21600" o:spt="202" path="m,l,21600r21600,l21600,xe">
            <v:stroke joinstyle="miter"/>
            <v:path gradientshapeok="t" o:connecttype="rect"/>
          </v:shapetype>
          <v:shape id="文本框 4" o:spid="_x0000_s1026" type="#_x0000_t202" style="position:absolute;left:0;text-align:left;margin-left:195.75pt;margin-top:612.75pt;width:84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ozUQIAAHoEAAAOAAAAZHJzL2Uyb0RvYy54bWysVM2O0zAQviPxDpbvNOkvS9R0VboqQqp2&#10;V+qiPbuO00RyPMZ2m5QHgDfYExfuPFefg7GTdsvCCXFxxp7xeL7vm8n0uqkk2QtjS1Ap7fdiSoTi&#10;kJVqm9JPD8s3V5RYx1TGJCiR0oOw9Hr2+tW01okYQAEyE4ZgEmWTWqe0cE4nUWR5ISpme6CFQmcO&#10;pmIOt2YbZYbVmL2S0SCOJ1ENJtMGuLAWT29aJ52F/HkuuLvLcysckSnF2lxYTVg3fo1mU5ZsDdNF&#10;ybsy2D9UUbFS4aPnVDfMMbIz5R+pqpIbsJC7HocqgjwvuQgYEE0/foFmXTAtAhYkx+ozTfb/peW3&#10;+3tDyiylI0oUq1Ci49O34/efxx9fycjTU2ubYNRaY5xr3kODMp/OLR561E1uKv9FPAT9SPThTK5o&#10;HOH+UjyZXMXo4ugbD4cjtDF99HxbG+s+CKiIN1JqULzAKduvrGtDTyH+MQuyzJallGHjG0YspCF7&#10;hlJLF2rE5L9FSUXqlE6G4zgkVuCvt5mlwlo81haTt1yzaToCNpAdEL+BtoGs5ssSi1wx6+6ZwY5B&#10;XDgF7g6XXAI+Ap1FSQHmy9/OfTwKiV5KauzAlNrPO2YEJfKjQonf9Ucj37JhMxq/HeDGXHo2lx61&#10;qxaAyPs4b5oH08c7eTJzA9UjDsvcv4oupji+nVJ3MheunQscNi7m8xCETaqZW6m15j61Z9pL8NA8&#10;MqM7nRwqfAunXmXJC7naWH9TwXznIC+Dlp7gltWOd2zw0A3dMPoJutyHqOdfxuwXAAAA//8DAFBL&#10;AwQUAAYACAAAACEA8D2hs+EAAAANAQAADwAAAGRycy9kb3ducmV2LnhtbEyPS0/EMAyE70j8h8hI&#10;XBCbbqsAW5quEOIhcWPLQ9yyjWkrGqdqsm3595gT3Mae0fhzsV1cLyYcQ+dJw3qVgECqve2o0fBS&#10;3Z9fgQjRkDW9J9TwjQG25fFRYXLrZ3rGaRcbwSUUcqOhjXHIpQx1i86ElR+Q2Pv0ozORx7GRdjQz&#10;l7tepklyIZ3piC+0ZsDbFuuv3cFp+Dhr3p/C8vA6Zyob7h6n6vLNVlqfniw31yAiLvEvDL/4jA4l&#10;M+39gWwQvYZss1YcZSNNFSuOKLVhsedVlrCSZSH/f1H+AAAA//8DAFBLAQItABQABgAIAAAAIQC2&#10;gziS/gAAAOEBAAATAAAAAAAAAAAAAAAAAAAAAABbQ29udGVudF9UeXBlc10ueG1sUEsBAi0AFAAG&#10;AAgAAAAhADj9If/WAAAAlAEAAAsAAAAAAAAAAAAAAAAALwEAAF9yZWxzLy5yZWxzUEsBAi0AFAAG&#10;AAgAAAAhABddOjNRAgAAegQAAA4AAAAAAAAAAAAAAAAALgIAAGRycy9lMm9Eb2MueG1sUEsBAi0A&#10;FAAGAAgAAAAhAPA9obPhAAAADQEAAA8AAAAAAAAAAAAAAAAAqwQAAGRycy9kb3ducmV2LnhtbFBL&#10;BQYAAAAABAAEAPMAAAC5BQAAAAA=&#10;" fillcolor="white [3201]" stroked="f" strokeweight=".5pt">
            <v:textbox>
              <w:txbxContent>
                <w:p w:rsidR="00C336B0" w:rsidRDefault="00C336B0"/>
              </w:txbxContent>
            </v:textbox>
          </v:shape>
        </w:pict>
      </w:r>
      <w:r>
        <w:rPr>
          <w:noProof/>
        </w:rPr>
        <w:pict>
          <v:shape id="文本框 3" o:spid="_x0000_s1027" type="#_x0000_t202" style="position:absolute;left:0;text-align:left;margin-left:284.8pt;margin-top:249.75pt;width:126.75pt;height:20.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6cXgIAAKkEAAAOAAAAZHJzL2Uyb0RvYy54bWysVM2O0zAQviPxDpbvNP0vGzVdla6KkKrd&#10;lbpoz67jNBGOx9huk/IA8AacuHDnufocjJ202104IS7O2PP588w3M5le16Uke2FsASqhvU6XEqE4&#10;pIXaJvTjw/LNW0qsYyplEpRI6EFYej17/Wpa6Vj0IQeZCkOQRNm40gnNndNxFFmei5LZDmih0JmB&#10;KZnDrdlGqWEVspcy6ne746gCk2oDXFiLpzeNk84Cf5YJ7u6yzApHZEIxNhdWE9aNX6PZlMVbw3Re&#10;8DYM9g9RlKxQ+OiZ6oY5Rnam+IOqLLgBC5nrcCgjyLKCi5ADZtPrvshmnTMtQi4ojtVnmez/o+W3&#10;+3tDijShA0oUK7FEx+/fjj9+HX9+JQMvT6VtjKi1Rpyr30GNZT6dWzz0WdeZKf0X8yHoR6EPZ3FF&#10;7Qj3l8bdq0l/RAlHX3806U1GniZ6uq2Nde8FlMQbCTVYvKAp26+sa6AniH/MgizSZSFl2PiGEQtp&#10;yJ5hqV0dYkTyZyipSJXQ8WDUDcTPfJ76fH8jGf/UhneBQj6pMGavSZO7t1y9qYOEZ102kB5QLgNN&#10;v1nNlwXSr5h198xgg6FCODTuDpdMAsYErUVJDubL3849HuuOXkoqbNiE2s87ZgQl8oPCjrjqDYe+&#10;w8NmOJr0cWMuPZtLj9qVC0ChejiemgfT4508mZmB8hFna+5fRRdTHN9GZU/mwjVjhLPJxXweQNjT&#10;mrmVWmvuqX1hvKwP9SMzui2rw4a4hVNrs/hFdRusv6lgvnOQFaH0XudG1VZ+nIfQPO3s+oG73AfU&#10;0x9m9hsAAP//AwBQSwMEFAAGAAgAAAAhAO9du87fAAAACwEAAA8AAABkcnMvZG93bnJldi54bWxM&#10;j0FPwkAQhe8m/ofNmHiTLQiV1m4JMdG7FPS6dIe2oTtbu1so/HrHEx4n78t732Sr0bbihL1vHCmY&#10;TiIQSKUzDVUKtsX70xKED5qMbh2hggt6WOX3d5lOjTvTJ542oRJcQj7VCuoQulRKX9ZotZ+4Domz&#10;g+utDnz2lTS9PnO5beUsimJpdUO8UOsO32osj5vBKjiEl69LgcXHdXsdjj9rv6PvsFPq8WFcv4II&#10;OIYbDH/6rA45O+3dQMaLVsEiTmJGFcyTZAGCieXseQpiz9E8ikDmmfz/Q/4LAAD//wMAUEsBAi0A&#10;FAAGAAgAAAAhALaDOJL+AAAA4QEAABMAAAAAAAAAAAAAAAAAAAAAAFtDb250ZW50X1R5cGVzXS54&#10;bWxQSwECLQAUAAYACAAAACEAOP0h/9YAAACUAQAACwAAAAAAAAAAAAAAAAAvAQAAX3JlbHMvLnJl&#10;bHNQSwECLQAUAAYACAAAACEAwSK+nF4CAACpBAAADgAAAAAAAAAAAAAAAAAuAgAAZHJzL2Uyb0Rv&#10;Yy54bWxQSwECLQAUAAYACAAAACEA7127zt8AAAALAQAADwAAAAAAAAAAAAAAAAC4BAAAZHJzL2Rv&#10;d25yZXYueG1sUEsFBgAAAAAEAAQA8wAAAMQFAAAAAA==&#10;" fillcolor="black [3213]" strokeweight=".5pt">
            <v:textbox>
              <w:txbxContent>
                <w:p w:rsidR="00596EA9" w:rsidRDefault="00596EA9" w:rsidP="00596EA9"/>
              </w:txbxContent>
            </v:textbox>
            <w10:wrap anchorx="margin"/>
          </v:shape>
        </w:pict>
      </w:r>
      <w:r>
        <w:rPr>
          <w:noProof/>
        </w:rPr>
        <w:pict>
          <v:shape id="文本框 2" o:spid="_x0000_s1028" type="#_x0000_t202" style="position:absolute;left:0;text-align:left;margin-left:270pt;margin-top:228pt;width:126.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LqXwIAAKkEAAAOAAAAZHJzL2Uyb0RvYy54bWysVEtu2zAQ3RfoHQjua8mqP41gOXAduCgQ&#10;JAGcImuaomyhFIclaUvuAZobdNVN9z2Xz9EhJTtO2lXRDTXkPD7OvJnR5LKpJNkJY0tQGe33YkqE&#10;4pCXap3RT/eLN+8osY6pnElQIqN7Yenl9PWrSa1TkcAGZC4MQRJl01pndOOcTqPI8o2omO2BFgqd&#10;BZiKOdyadZQbViN7JaMkjkdRDSbXBriwFk+vWiedBv6iENzdFoUVjsiMYmwurCasK79G0wlL14bp&#10;Tcm7MNg/RFGxUuGjJ6or5hjZmvIPqqrkBiwUrsehiqAoSi5CDphNP36RzXLDtAi5oDhWn2Sy/4+W&#10;3+zuDCnzjCaUKFZhiQ7fHw8/fh1+fiOJl6fWNkXUUiPONe+hwTIfzy0e+qybwlT+i/kQ9KPQ+5O4&#10;onGE+0uj+GKcDCnh6EuG4/546Gmip9vaWPdBQEW8kVGDxQuast21dS30CPGPWZBlviilDBvfMGIu&#10;DdkxLLVrQoxI/gwlFakzOno7jAPxM5+nPt1fScY/d+GdoZBPKozZa9Lm7i3XrJpOwk6vFeR7lMtA&#10;229W80WJ9NfMujtmsMFQIRwad4tLIQFjgs6iZAPm69/OPR7rjl5KamzYjNovW2YEJfKjwo646A8G&#10;vsPDZjAcJ7gx557VuUdtqzmgUH0cT82D6fFOHs3CQPWAszXzr6KLKY5vo7JHc+7aMcLZ5GI2CyDs&#10;ac3ctVpq7ql9Ybys980DM7orq8OGuIFja7P0RXVbrL+pYLZ1UJSh9F7nVtVOfpyH0Dzd7PqBO98H&#10;1NMfZvobAAD//wMAUEsDBBQABgAIAAAAIQDpV4Nt4AAAAAsBAAAPAAAAZHJzL2Rvd25yZXYueG1s&#10;TI9BT8JAEIXvJv6HzZh4ky1Ki5RuCTHRuxT0unSHtqE7W7tbKPx6xxPeZua9vPlethptK07Y+8aR&#10;gukkAoFUOtNQpWBbvD+9gvBBk9GtI1RwQQ+r/P4u06lxZ/rE0yZUgkPIp1pBHUKXSunLGq32E9ch&#10;sXZwvdWB176SptdnDretfI6iRFrdEH+odYdvNZbHzWAVHML861Jg8XHdXofjz9rv6DvslHp8GNdL&#10;EAHHcDPDHz6jQ85MezeQ8aJVEM8i7hIUzOKEB3bMFy8xiD1fFkkMMs/k/w75LwAAAP//AwBQSwEC&#10;LQAUAAYACAAAACEAtoM4kv4AAADhAQAAEwAAAAAAAAAAAAAAAAAAAAAAW0NvbnRlbnRfVHlwZXNd&#10;LnhtbFBLAQItABQABgAIAAAAIQA4/SH/1gAAAJQBAAALAAAAAAAAAAAAAAAAAC8BAABfcmVscy8u&#10;cmVsc1BLAQItABQABgAIAAAAIQCygmLqXwIAAKkEAAAOAAAAAAAAAAAAAAAAAC4CAABkcnMvZTJv&#10;RG9jLnhtbFBLAQItABQABgAIAAAAIQDpV4Nt4AAAAAsBAAAPAAAAAAAAAAAAAAAAALkEAABkcnMv&#10;ZG93bnJldi54bWxQSwUGAAAAAAQABADzAAAAxgUAAAAA&#10;" fillcolor="black [3213]" strokeweight=".5pt">
            <v:textbox>
              <w:txbxContent>
                <w:p w:rsidR="00596EA9" w:rsidRDefault="00596EA9"/>
              </w:txbxContent>
            </v:textbox>
          </v:shape>
        </w:pict>
      </w:r>
      <w:r w:rsidR="00596EA9">
        <w:rPr>
          <w:noProof/>
        </w:rPr>
        <w:drawing>
          <wp:inline distT="0" distB="0" distL="0" distR="0">
            <wp:extent cx="5899756" cy="83439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证词（华润臻选）_pages-to-jpg-000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4647" cy="8350817"/>
                    </a:xfrm>
                    <a:prstGeom prst="rect">
                      <a:avLst/>
                    </a:prstGeom>
                  </pic:spPr>
                </pic:pic>
              </a:graphicData>
            </a:graphic>
          </wp:inline>
        </w:drawing>
      </w:r>
    </w:p>
    <w:p w:rsidR="00B838F1" w:rsidRDefault="00B838F1">
      <w:pPr>
        <w:rPr>
          <w:rStyle w:val="da"/>
        </w:rPr>
      </w:pPr>
    </w:p>
    <w:p w:rsidR="00C336B0" w:rsidRDefault="004C185A" w:rsidP="00C336B0">
      <w:pPr>
        <w:pStyle w:val="1"/>
      </w:pPr>
      <w:r>
        <w:rPr>
          <w:noProof/>
        </w:rPr>
        <w:pict>
          <v:shape id="文本框 6" o:spid="_x0000_s1029" type="#_x0000_t202" style="position:absolute;left:0;text-align:left;margin-left:190.5pt;margin-top:603pt;width:84pt;height: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ltUwIAAIEEAAAOAAAAZHJzL2Uyb0RvYy54bWysVM2O0zAQviPxDpbvNOkvS9R0VboqQqp2&#10;V+qiPbuO00RyPMZ2m5QHgDfYExfuPFefg7HTdMvCCXFxxp7xeL7vm8n0uqkk2QtjS1Ap7fdiSoTi&#10;kJVqm9JPD8s3V5RYx1TGJCiR0oOw9Hr2+tW01okYQAEyE4ZgEmWTWqe0cE4nUWR5ISpme6CFQmcO&#10;pmIOt2YbZYbVmL2S0SCOJ1ENJtMGuLAWT29aJ52F/HkuuLvLcysckSnF2lxYTVg3fo1mU5ZsDdNF&#10;yU9lsH+oomKlwkfPqW6YY2Rnyj9SVSU3YCF3PQ5VBHlechEwIJp+/ALNumBaBCxIjtVnmuz/S8tv&#10;9/eGlFlKJ5QoVqFEx6dvx+8/jz++komnp9Y2wai1xjjXvIcGZe7OLR561E1uKv9FPAT9SPThTK5o&#10;HOH+UjyZXMXo4ugbD4cjtDF99HxbG+s+CKiIN1JqULzAKduvrGtDuxD/mAVZZstSyrDxDSMW0pA9&#10;Q6mlCzVi8t+ipCI1Ih2O45BYgb/eZpYKa/FYW0zecs2mCdQMO7wbyA5Ig4G2j6zmyxJrXTHr7pnB&#10;xkF4OAzuDpdcAr4FJ4uSAsyXv537eNQTvZTU2IgptZ93zAhK5EeFSr/rj0a+c8NmNH47wI259Gwu&#10;PWpXLQAJ6OPYaR5MH+9kZ+YGqkecmbl/FV1McXw7pa4zF64dD5w5LubzEIS9qplbqbXmPrUn3Cvx&#10;0Dwyo09yORT6FrqWZckL1dpYf1PBfOcgL4OknueW1RP92OehKU4z6Qfpch+inv8cs18AAAD//wMA&#10;UEsDBBQABgAIAAAAIQBymAUt4QAAAA0BAAAPAAAAZHJzL2Rvd25yZXYueG1sTE/LTsMwELwj8Q/W&#10;InFB1G5DSxviVAjxkLjR8BA3N16SiHgdxW4S/p7tCW4zO6PZmWw7uVYM2IfGk4b5TIFAKr1tqNLw&#10;WjxcrkGEaMia1hNq+MEA2/z0JDOp9SO94LCLleAQCqnRUMfYpVKGskZnwsx3SKx9+d6ZyLSvpO3N&#10;yOGulQulVtKZhvhDbTq8q7H83h2chs+L6uM5TI9vY7JMuvunobh+t4XW52fT7Q2IiFP8M8OxPleH&#10;nDvt/YFsEK2GZD3nLZGFhVoxYsvyasNgfzxtlAKZZ/L/ivwXAAD//wMAUEsBAi0AFAAGAAgAAAAh&#10;ALaDOJL+AAAA4QEAABMAAAAAAAAAAAAAAAAAAAAAAFtDb250ZW50X1R5cGVzXS54bWxQSwECLQAU&#10;AAYACAAAACEAOP0h/9YAAACUAQAACwAAAAAAAAAAAAAAAAAvAQAAX3JlbHMvLnJlbHNQSwECLQAU&#10;AAYACAAAACEAOXAJbVMCAACBBAAADgAAAAAAAAAAAAAAAAAuAgAAZHJzL2Uyb0RvYy54bWxQSwEC&#10;LQAUAAYACAAAACEAcpgFLeEAAAANAQAADwAAAAAAAAAAAAAAAACtBAAAZHJzL2Rvd25yZXYueG1s&#10;UEsFBgAAAAAEAAQA8wAAALsFAAAAAA==&#10;" fillcolor="white [3201]" stroked="f" strokeweight=".5pt">
            <v:textbox>
              <w:txbxContent>
                <w:p w:rsidR="002E1DDC" w:rsidRDefault="002E1DDC" w:rsidP="002E1DDC"/>
              </w:txbxContent>
            </v:textbox>
          </v:shape>
        </w:pict>
      </w:r>
      <w:r w:rsidR="002E1DDC">
        <w:rPr>
          <w:noProof/>
        </w:rPr>
        <w:drawing>
          <wp:inline distT="0" distB="0" distL="0" distR="0">
            <wp:extent cx="5771793" cy="816292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公证词（华润臻选）_pages-to-jpg-000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76683" cy="8169841"/>
                    </a:xfrm>
                    <a:prstGeom prst="rect">
                      <a:avLst/>
                    </a:prstGeom>
                  </pic:spPr>
                </pic:pic>
              </a:graphicData>
            </a:graphic>
          </wp:inline>
        </w:drawing>
      </w:r>
    </w:p>
    <w:p w:rsidR="00C336B0" w:rsidRDefault="00C336B0" w:rsidP="00C336B0"/>
    <w:p w:rsidR="008F27B7" w:rsidRPr="008F27B7" w:rsidRDefault="004C185A" w:rsidP="008F27B7">
      <w:pPr>
        <w:pStyle w:val="1"/>
      </w:pPr>
      <w:r>
        <w:rPr>
          <w:noProof/>
        </w:rPr>
        <w:pict>
          <v:shape id="文本框 8" o:spid="_x0000_s1030" type="#_x0000_t202" style="position:absolute;left:0;text-align:left;margin-left:195.75pt;margin-top:615pt;width:84pt;height: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GLUwIAAIEEAAAOAAAAZHJzL2Uyb0RvYy54bWysVM2O0zAQviPxDpbvNOkvJWq6Kl0VIa12&#10;V+qiPbuO00RyPMZ2m5QHgDfYExfuPFefg7HTdMvCCXFxxp7x55nvm8nsqqkk2QtjS1Ap7fdiSoTi&#10;kJVqm9JPD6s3U0qsYypjEpRI6UFYejV//WpW60QMoACZCUMQRNmk1iktnNNJFFleiIrZHmih0JmD&#10;qZjDrdlGmWE1olcyGsTxJKrBZNoAF9bi6XXrpPOAn+eCu7s8t8IRmVLMzYXVhHXj12g+Y8nWMF2U&#10;/JQG+4csKlYqfPQMdc0cIztT/gFVldyAhdz1OFQR5HnJRagBq+nHL6pZF0yLUAuSY/WZJvv/YPnt&#10;/t6QMkspCqVYhRIdn74dv/88/vhKpp6eWtsEo9Ya41zzHhqUuTu3eOirbnJT+S/WQ9CPRB/O5IrG&#10;Ee4vxZPJNEYXR994OByhjfDR821trPsgoCLeSKlB8QKnbH9jXRvahfjHLMgyW5VSho1vGLGUhuwZ&#10;Si1dyBHBf4uSitQpnQzHcQBW4K+3yFJhLr7WtiZvuWbTBGpGXb0byA5Ig4G2j6zmqxJzvWHW3TOD&#10;jYPl4TC4O1xyCfgWnCxKCjBf/nbu41FP9FJSYyOm1H7eMSMokR8VKv2uPxr5zg2b0fjtADfm0rO5&#10;9KhdtQQkoI9jp3kwfbyTnZkbqB5xZhb+VXQxxfHtlLrOXLp2PHDmuFgsQhD2qmbuRq0199CecK/E&#10;Q/PIjD7J5VDoW+haliUvVGtj/U0Fi52DvAySep5bVk/0Y5+HpjjNpB+ky32Iev5zzH8BAAD//wMA&#10;UEsDBBQABgAIAAAAIQDbhABy4gAAAA0BAAAPAAAAZHJzL2Rvd25yZXYueG1sTI/BTsMwEETvSPyD&#10;tUhcUGunJkBDnAohoBI3mgLi5sYmiYjXUewm4e9ZTnDcmafZmXwzu46NdgitRwXJUgCzWHnTYq1g&#10;Xz4uboCFqNHozqNV8G0DbIrTk1xnxk/4YsddrBmFYMi0gibGPuM8VI11Oix9b5G8Tz84Hekcam4G&#10;PVG46/hKiCvudIv0odG9vW9s9bU7OgUfF/X7c5ifXieZyv5hO5bXb6ZU6vxsvrsFFu0c/2D4rU/V&#10;oaBOB39EE1inQK6TlFAyVlLQKkLSdE3SgSSZXArgRc7/ryh+AAAA//8DAFBLAQItABQABgAIAAAA&#10;IQC2gziS/gAAAOEBAAATAAAAAAAAAAAAAAAAAAAAAABbQ29udGVudF9UeXBlc10ueG1sUEsBAi0A&#10;FAAGAAgAAAAhADj9If/WAAAAlAEAAAsAAAAAAAAAAAAAAAAALwEAAF9yZWxzLy5yZWxzUEsBAi0A&#10;FAAGAAgAAAAhAGpoAYtTAgAAgQQAAA4AAAAAAAAAAAAAAAAALgIAAGRycy9lMm9Eb2MueG1sUEsB&#10;Ai0AFAAGAAgAAAAhANuEAHLiAAAADQEAAA8AAAAAAAAAAAAAAAAArQQAAGRycy9kb3ducmV2Lnht&#10;bFBLBQYAAAAABAAEAPMAAAC8BQAAAAA=&#10;" fillcolor="white [3201]" stroked="f" strokeweight=".5pt">
            <v:textbox>
              <w:txbxContent>
                <w:p w:rsidR="008F27B7" w:rsidRDefault="008F27B7" w:rsidP="008F27B7"/>
              </w:txbxContent>
            </v:textbox>
          </v:shape>
        </w:pict>
      </w:r>
      <w:r w:rsidR="008F27B7">
        <w:rPr>
          <w:rFonts w:hint="eastAsia"/>
          <w:noProof/>
        </w:rPr>
        <w:drawing>
          <wp:inline distT="0" distB="0" distL="0" distR="0">
            <wp:extent cx="5960370" cy="84296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公证词（华润臻选）_pages-to-jpg-000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1274" cy="8445047"/>
                    </a:xfrm>
                    <a:prstGeom prst="rect">
                      <a:avLst/>
                    </a:prstGeom>
                  </pic:spPr>
                </pic:pic>
              </a:graphicData>
            </a:graphic>
          </wp:inline>
        </w:drawing>
      </w:r>
    </w:p>
    <w:sectPr w:rsidR="008F27B7" w:rsidRPr="008F27B7" w:rsidSect="004C185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B6B" w:rsidRDefault="00837B6B"/>
  </w:endnote>
  <w:endnote w:type="continuationSeparator" w:id="0">
    <w:p w:rsidR="00837B6B" w:rsidRDefault="00837B6B"/>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B6B" w:rsidRDefault="00837B6B"/>
  </w:footnote>
  <w:footnote w:type="continuationSeparator" w:id="0">
    <w:p w:rsidR="00837B6B" w:rsidRDefault="00837B6B"/>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cxMzk3OWMxZDA5ZGIwYjIzYzNkMmZhOTlmNDE5NWMifQ=="/>
  </w:docVars>
  <w:rsids>
    <w:rsidRoot w:val="0074265A"/>
    <w:rsid w:val="0002754A"/>
    <w:rsid w:val="000537E3"/>
    <w:rsid w:val="00064FB5"/>
    <w:rsid w:val="000831C6"/>
    <w:rsid w:val="00091ECD"/>
    <w:rsid w:val="000B046B"/>
    <w:rsid w:val="000D7238"/>
    <w:rsid w:val="00142782"/>
    <w:rsid w:val="001607A5"/>
    <w:rsid w:val="00170347"/>
    <w:rsid w:val="001C0DB8"/>
    <w:rsid w:val="001E1B84"/>
    <w:rsid w:val="001E7D18"/>
    <w:rsid w:val="0020149D"/>
    <w:rsid w:val="002657A8"/>
    <w:rsid w:val="002702B9"/>
    <w:rsid w:val="00287812"/>
    <w:rsid w:val="002B0FF3"/>
    <w:rsid w:val="002D3268"/>
    <w:rsid w:val="002E1DDC"/>
    <w:rsid w:val="00305CC2"/>
    <w:rsid w:val="0031620F"/>
    <w:rsid w:val="0032452A"/>
    <w:rsid w:val="00356548"/>
    <w:rsid w:val="00373651"/>
    <w:rsid w:val="003C5DC3"/>
    <w:rsid w:val="003D1845"/>
    <w:rsid w:val="0040296E"/>
    <w:rsid w:val="004064D7"/>
    <w:rsid w:val="004478AE"/>
    <w:rsid w:val="004548B5"/>
    <w:rsid w:val="0049359A"/>
    <w:rsid w:val="004C185A"/>
    <w:rsid w:val="004E3AFB"/>
    <w:rsid w:val="004E529D"/>
    <w:rsid w:val="00596EA9"/>
    <w:rsid w:val="005C1075"/>
    <w:rsid w:val="005C1B3B"/>
    <w:rsid w:val="005D091D"/>
    <w:rsid w:val="005F582A"/>
    <w:rsid w:val="006004C9"/>
    <w:rsid w:val="006169DF"/>
    <w:rsid w:val="00663EA4"/>
    <w:rsid w:val="00684327"/>
    <w:rsid w:val="00696A9C"/>
    <w:rsid w:val="006A39AE"/>
    <w:rsid w:val="006C4CD1"/>
    <w:rsid w:val="007149FA"/>
    <w:rsid w:val="0071521B"/>
    <w:rsid w:val="0071735B"/>
    <w:rsid w:val="0074265A"/>
    <w:rsid w:val="007614B0"/>
    <w:rsid w:val="007716D6"/>
    <w:rsid w:val="00773AEE"/>
    <w:rsid w:val="00780872"/>
    <w:rsid w:val="007838EF"/>
    <w:rsid w:val="00794252"/>
    <w:rsid w:val="007B2DC1"/>
    <w:rsid w:val="007F429E"/>
    <w:rsid w:val="00804D64"/>
    <w:rsid w:val="00832319"/>
    <w:rsid w:val="00837B6B"/>
    <w:rsid w:val="008B3F11"/>
    <w:rsid w:val="008F1327"/>
    <w:rsid w:val="008F27B7"/>
    <w:rsid w:val="009103D4"/>
    <w:rsid w:val="009230FD"/>
    <w:rsid w:val="0094010D"/>
    <w:rsid w:val="00954590"/>
    <w:rsid w:val="00993A1A"/>
    <w:rsid w:val="00A05906"/>
    <w:rsid w:val="00A122CD"/>
    <w:rsid w:val="00A2041A"/>
    <w:rsid w:val="00A573AD"/>
    <w:rsid w:val="00A65669"/>
    <w:rsid w:val="00A720D2"/>
    <w:rsid w:val="00AA5A8C"/>
    <w:rsid w:val="00AC11DD"/>
    <w:rsid w:val="00B01063"/>
    <w:rsid w:val="00B17667"/>
    <w:rsid w:val="00B61E00"/>
    <w:rsid w:val="00B7390A"/>
    <w:rsid w:val="00B838F1"/>
    <w:rsid w:val="00BB6BFB"/>
    <w:rsid w:val="00BF3508"/>
    <w:rsid w:val="00C15DCF"/>
    <w:rsid w:val="00C336B0"/>
    <w:rsid w:val="00C35EE7"/>
    <w:rsid w:val="00C84716"/>
    <w:rsid w:val="00CD0155"/>
    <w:rsid w:val="00CE2594"/>
    <w:rsid w:val="00D61CB0"/>
    <w:rsid w:val="00D62F42"/>
    <w:rsid w:val="00D72B92"/>
    <w:rsid w:val="00D874F6"/>
    <w:rsid w:val="00D87D8A"/>
    <w:rsid w:val="00DA0742"/>
    <w:rsid w:val="00DC0108"/>
    <w:rsid w:val="00DE31D4"/>
    <w:rsid w:val="00DF6040"/>
    <w:rsid w:val="00E037D9"/>
    <w:rsid w:val="00E137CA"/>
    <w:rsid w:val="00E25FAF"/>
    <w:rsid w:val="00E375ED"/>
    <w:rsid w:val="00E53B47"/>
    <w:rsid w:val="00E80609"/>
    <w:rsid w:val="00E87EAA"/>
    <w:rsid w:val="00E96055"/>
    <w:rsid w:val="00EA3BA1"/>
    <w:rsid w:val="00EE5A8F"/>
    <w:rsid w:val="00EF0A7A"/>
    <w:rsid w:val="00F054F9"/>
    <w:rsid w:val="00F05839"/>
    <w:rsid w:val="00F37443"/>
    <w:rsid w:val="00F40A7D"/>
    <w:rsid w:val="00F46F4F"/>
    <w:rsid w:val="00F712E1"/>
    <w:rsid w:val="00FA1E14"/>
    <w:rsid w:val="02103F96"/>
    <w:rsid w:val="05073480"/>
    <w:rsid w:val="08546DFF"/>
    <w:rsid w:val="17326590"/>
    <w:rsid w:val="221D0D96"/>
    <w:rsid w:val="29786E85"/>
    <w:rsid w:val="41577729"/>
    <w:rsid w:val="46E840A6"/>
    <w:rsid w:val="50BF1E35"/>
    <w:rsid w:val="533D6FB3"/>
    <w:rsid w:val="77534D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4C185A"/>
    <w:pPr>
      <w:widowControl w:val="0"/>
      <w:jc w:val="both"/>
    </w:pPr>
    <w:rPr>
      <w:kern w:val="2"/>
      <w:sz w:val="21"/>
      <w:szCs w:val="22"/>
    </w:rPr>
  </w:style>
  <w:style w:type="paragraph" w:styleId="1">
    <w:name w:val="heading 1"/>
    <w:basedOn w:val="a"/>
    <w:next w:val="a"/>
    <w:autoRedefine/>
    <w:qFormat/>
    <w:rsid w:val="004C185A"/>
    <w:pPr>
      <w:keepNext/>
      <w:keepLines/>
      <w:spacing w:before="120" w:after="120" w:line="360" w:lineRule="auto"/>
      <w:outlineLvl w:val="0"/>
    </w:pPr>
    <w:rPr>
      <w:rFonts w:ascii="宋体"/>
      <w:b/>
      <w:color w:val="000000"/>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4C185A"/>
    <w:pPr>
      <w:jc w:val="left"/>
    </w:pPr>
  </w:style>
  <w:style w:type="paragraph" w:styleId="a4">
    <w:name w:val="Date"/>
    <w:basedOn w:val="a"/>
    <w:next w:val="a"/>
    <w:link w:val="Char0"/>
    <w:autoRedefine/>
    <w:uiPriority w:val="99"/>
    <w:semiHidden/>
    <w:unhideWhenUsed/>
    <w:qFormat/>
    <w:rsid w:val="004C185A"/>
    <w:pPr>
      <w:ind w:leftChars="2500" w:left="100"/>
    </w:pPr>
  </w:style>
  <w:style w:type="paragraph" w:styleId="a5">
    <w:name w:val="Balloon Text"/>
    <w:basedOn w:val="a"/>
    <w:link w:val="Char1"/>
    <w:autoRedefine/>
    <w:uiPriority w:val="99"/>
    <w:semiHidden/>
    <w:unhideWhenUsed/>
    <w:qFormat/>
    <w:rsid w:val="004C185A"/>
    <w:rPr>
      <w:sz w:val="18"/>
      <w:szCs w:val="18"/>
    </w:rPr>
  </w:style>
  <w:style w:type="paragraph" w:styleId="a6">
    <w:name w:val="footer"/>
    <w:basedOn w:val="a"/>
    <w:link w:val="Char2"/>
    <w:autoRedefine/>
    <w:uiPriority w:val="99"/>
    <w:unhideWhenUsed/>
    <w:qFormat/>
    <w:rsid w:val="004C185A"/>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4C185A"/>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qFormat/>
    <w:rsid w:val="004C185A"/>
    <w:rPr>
      <w:b/>
      <w:bCs/>
    </w:rPr>
  </w:style>
  <w:style w:type="character" w:styleId="a9">
    <w:name w:val="Hyperlink"/>
    <w:basedOn w:val="a0"/>
    <w:autoRedefine/>
    <w:uiPriority w:val="99"/>
    <w:unhideWhenUsed/>
    <w:qFormat/>
    <w:rsid w:val="004C185A"/>
    <w:rPr>
      <w:color w:val="0000FF" w:themeColor="hyperlink"/>
      <w:u w:val="single"/>
    </w:rPr>
  </w:style>
  <w:style w:type="character" w:styleId="aa">
    <w:name w:val="annotation reference"/>
    <w:basedOn w:val="a0"/>
    <w:autoRedefine/>
    <w:uiPriority w:val="99"/>
    <w:semiHidden/>
    <w:unhideWhenUsed/>
    <w:qFormat/>
    <w:rsid w:val="004C185A"/>
    <w:rPr>
      <w:sz w:val="21"/>
      <w:szCs w:val="21"/>
    </w:rPr>
  </w:style>
  <w:style w:type="character" w:customStyle="1" w:styleId="Char1">
    <w:name w:val="批注框文本 Char"/>
    <w:basedOn w:val="a0"/>
    <w:link w:val="a5"/>
    <w:autoRedefine/>
    <w:uiPriority w:val="99"/>
    <w:semiHidden/>
    <w:qFormat/>
    <w:rsid w:val="004C185A"/>
    <w:rPr>
      <w:sz w:val="18"/>
      <w:szCs w:val="18"/>
    </w:rPr>
  </w:style>
  <w:style w:type="character" w:customStyle="1" w:styleId="Char3">
    <w:name w:val="页眉 Char"/>
    <w:basedOn w:val="a0"/>
    <w:link w:val="a7"/>
    <w:uiPriority w:val="99"/>
    <w:qFormat/>
    <w:rsid w:val="004C185A"/>
    <w:rPr>
      <w:sz w:val="18"/>
      <w:szCs w:val="18"/>
    </w:rPr>
  </w:style>
  <w:style w:type="character" w:customStyle="1" w:styleId="Char2">
    <w:name w:val="页脚 Char"/>
    <w:basedOn w:val="a0"/>
    <w:link w:val="a6"/>
    <w:uiPriority w:val="99"/>
    <w:qFormat/>
    <w:rsid w:val="004C185A"/>
    <w:rPr>
      <w:sz w:val="18"/>
      <w:szCs w:val="18"/>
    </w:rPr>
  </w:style>
  <w:style w:type="character" w:customStyle="1" w:styleId="Char">
    <w:name w:val="批注文字 Char"/>
    <w:basedOn w:val="a0"/>
    <w:link w:val="a3"/>
    <w:autoRedefine/>
    <w:uiPriority w:val="99"/>
    <w:semiHidden/>
    <w:qFormat/>
    <w:rsid w:val="004C185A"/>
  </w:style>
  <w:style w:type="character" w:customStyle="1" w:styleId="Char4">
    <w:name w:val="批注主题 Char"/>
    <w:basedOn w:val="Char"/>
    <w:link w:val="a8"/>
    <w:uiPriority w:val="99"/>
    <w:semiHidden/>
    <w:qFormat/>
    <w:rsid w:val="004C185A"/>
    <w:rPr>
      <w:b/>
      <w:bCs/>
    </w:rPr>
  </w:style>
  <w:style w:type="character" w:customStyle="1" w:styleId="da">
    <w:name w:val="da"/>
    <w:basedOn w:val="a0"/>
    <w:autoRedefine/>
    <w:qFormat/>
    <w:rsid w:val="004C185A"/>
  </w:style>
  <w:style w:type="character" w:customStyle="1" w:styleId="10">
    <w:name w:val="书籍标题1"/>
    <w:basedOn w:val="a0"/>
    <w:autoRedefine/>
    <w:uiPriority w:val="33"/>
    <w:qFormat/>
    <w:rsid w:val="004C185A"/>
    <w:rPr>
      <w:b/>
      <w:bCs/>
      <w:i/>
      <w:iCs/>
      <w:spacing w:val="5"/>
    </w:rPr>
  </w:style>
  <w:style w:type="character" w:customStyle="1" w:styleId="Char0">
    <w:name w:val="日期 Char"/>
    <w:basedOn w:val="a0"/>
    <w:link w:val="a4"/>
    <w:autoRedefine/>
    <w:uiPriority w:val="99"/>
    <w:semiHidden/>
    <w:qFormat/>
    <w:rsid w:val="004C185A"/>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ED745-1E4C-4E6B-8979-2FA4FA02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2801</Characters>
  <Application>Microsoft Office Word</Application>
  <DocSecurity>4</DocSecurity>
  <Lines>23</Lines>
  <Paragraphs>6</Paragraphs>
  <ScaleCrop>false</ScaleCrop>
  <Company/>
  <LinksUpToDate>false</LinksUpToDate>
  <CharactersWithSpaces>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唐利利</dc:creator>
  <cp:lastModifiedBy>ZHONGM</cp:lastModifiedBy>
  <cp:revision>2</cp:revision>
  <dcterms:created xsi:type="dcterms:W3CDTF">2024-03-12T16:00:00Z</dcterms:created>
  <dcterms:modified xsi:type="dcterms:W3CDTF">2024-03-12T16:00:00Z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76710C27BD2E426696ED745F173C7FFE_12</vt:lpwstr>
  </property>
</Properties>
</file>