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9AA" w:rsidRDefault="00AD0A90">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深圳前海微众银行股份有限公司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1239AA" w:rsidRDefault="001239AA">
      <w:pPr>
        <w:spacing w:line="360" w:lineRule="auto"/>
        <w:ind w:rightChars="200" w:right="420"/>
        <w:jc w:val="center"/>
        <w:rPr>
          <w:b/>
          <w:sz w:val="32"/>
          <w:szCs w:val="32"/>
        </w:rPr>
      </w:pP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宋体" w:hAnsi="宋体" w:cs="宋体" w:hint="eastAsia"/>
          <w:sz w:val="24"/>
          <w:szCs w:val="24"/>
        </w:rPr>
        <w:t>深圳前海微众银行股份有限公司</w:t>
      </w:r>
      <w:r>
        <w:rPr>
          <w:rFonts w:asciiTheme="minorEastAsia" w:hAnsiTheme="minorEastAsia" w:cs="Times New Roman" w:hint="eastAsia"/>
          <w:sz w:val="24"/>
          <w:szCs w:val="24"/>
        </w:rPr>
        <w:t>（以下简称“</w:t>
      </w:r>
      <w:r>
        <w:rPr>
          <w:rFonts w:ascii="宋体" w:hAnsi="宋体" w:cs="宋体" w:hint="eastAsia"/>
          <w:sz w:val="24"/>
          <w:szCs w:val="24"/>
        </w:rPr>
        <w:t>微众银行</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3</w:t>
      </w:r>
      <w:r>
        <w:rPr>
          <w:rFonts w:asciiTheme="minorEastAsia" w:hAnsiTheme="minorEastAsia" w:cs="Times New Roman" w:hint="eastAsia"/>
          <w:sz w:val="24"/>
          <w:szCs w:val="24"/>
        </w:rPr>
        <w:t>月</w:t>
      </w:r>
      <w:r>
        <w:rPr>
          <w:rFonts w:asciiTheme="minorEastAsia" w:hAnsiTheme="minorEastAsia" w:cs="Times New Roman" w:hint="eastAsia"/>
          <w:sz w:val="24"/>
          <w:szCs w:val="24"/>
        </w:rPr>
        <w:t>12</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1239AA" w:rsidRDefault="00AD0A90">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中信建投北交所精选两年定期开放混合型证券投资基金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016303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01630</w:t>
            </w:r>
            <w:r>
              <w:rPr>
                <w:rFonts w:asciiTheme="minorEastAsia" w:hAnsiTheme="minorEastAsia" w:hint="eastAsia"/>
                <w:sz w:val="24"/>
                <w:szCs w:val="24"/>
              </w:rPr>
              <w:t>4</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中信建投低碳成长混合型证券投资基金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013851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01385</w:t>
            </w:r>
            <w:r>
              <w:rPr>
                <w:rFonts w:asciiTheme="minorEastAsia" w:hAnsiTheme="minorEastAsia" w:hint="eastAsia"/>
                <w:sz w:val="24"/>
                <w:szCs w:val="24"/>
              </w:rPr>
              <w:t>2</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中信建投沪深</w:t>
            </w:r>
            <w:r>
              <w:rPr>
                <w:rFonts w:asciiTheme="minorEastAsia" w:hAnsiTheme="minorEastAsia" w:hint="eastAsia"/>
                <w:sz w:val="24"/>
                <w:szCs w:val="24"/>
              </w:rPr>
              <w:t>300</w:t>
            </w:r>
            <w:r>
              <w:rPr>
                <w:rFonts w:asciiTheme="minorEastAsia" w:hAnsiTheme="minorEastAsia" w:hint="eastAsia"/>
                <w:sz w:val="24"/>
                <w:szCs w:val="24"/>
              </w:rPr>
              <w:t>指数增强型证券投资基金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015061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01506</w:t>
            </w:r>
            <w:r>
              <w:rPr>
                <w:rFonts w:asciiTheme="minorEastAsia" w:hAnsiTheme="minorEastAsia" w:hint="eastAsia"/>
                <w:sz w:val="24"/>
                <w:szCs w:val="24"/>
              </w:rPr>
              <w:t>2</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中信建投惠享债券型证券投资基金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018977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01897</w:t>
            </w:r>
            <w:r>
              <w:rPr>
                <w:rFonts w:asciiTheme="minorEastAsia" w:hAnsiTheme="minorEastAsia" w:hint="eastAsia"/>
                <w:sz w:val="24"/>
                <w:szCs w:val="24"/>
              </w:rPr>
              <w:t>8</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中信建投策略精选混合型证券投资基金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007468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007469</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中信建投科技主题</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017034</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017035</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中信建投量化进取</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011410</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01141</w:t>
            </w:r>
            <w:r>
              <w:rPr>
                <w:rFonts w:asciiTheme="minorEastAsia" w:hAnsiTheme="minorEastAsia" w:hint="eastAsia"/>
                <w:sz w:val="24"/>
                <w:szCs w:val="24"/>
              </w:rPr>
              <w:t>1</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中信建投量化精选</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012878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01287</w:t>
            </w:r>
            <w:r>
              <w:rPr>
                <w:rFonts w:asciiTheme="minorEastAsia" w:hAnsiTheme="minorEastAsia" w:hint="eastAsia"/>
                <w:sz w:val="24"/>
                <w:szCs w:val="24"/>
              </w:rPr>
              <w:t>9</w:t>
            </w:r>
          </w:p>
        </w:tc>
      </w:tr>
      <w:tr w:rsidR="001239AA">
        <w:trPr>
          <w:trHeight w:val="452"/>
        </w:trPr>
        <w:tc>
          <w:tcPr>
            <w:tcW w:w="562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中信建投行业轮换混合型证券投资基金</w:t>
            </w:r>
          </w:p>
        </w:tc>
        <w:tc>
          <w:tcPr>
            <w:tcW w:w="2880" w:type="dxa"/>
            <w:vAlign w:val="center"/>
          </w:tcPr>
          <w:p w:rsidR="001239AA" w:rsidRDefault="00AD0A90">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003822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003823</w:t>
            </w:r>
          </w:p>
        </w:tc>
      </w:tr>
    </w:tbl>
    <w:p w:rsidR="001239AA" w:rsidRDefault="001239AA">
      <w:pPr>
        <w:spacing w:line="360" w:lineRule="auto"/>
        <w:ind w:firstLineChars="200" w:firstLine="480"/>
        <w:rPr>
          <w:rFonts w:asciiTheme="minorEastAsia" w:hAnsiTheme="minorEastAsia" w:cs="Times New Roman"/>
          <w:sz w:val="24"/>
          <w:szCs w:val="24"/>
        </w:rPr>
      </w:pP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Pr>
          <w:rFonts w:asciiTheme="minorEastAsia" w:hAnsiTheme="minorEastAsia" w:hint="eastAsia"/>
          <w:sz w:val="24"/>
          <w:szCs w:val="24"/>
        </w:rPr>
        <w:t>12</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的规定为准。</w:t>
      </w:r>
      <w:r>
        <w:rPr>
          <w:rFonts w:asciiTheme="minorEastAsia" w:hAnsiTheme="minorEastAsia" w:hint="eastAsia"/>
          <w:sz w:val="24"/>
          <w:szCs w:val="24"/>
        </w:rPr>
        <w:t>投资者通过</w:t>
      </w:r>
      <w:r>
        <w:rPr>
          <w:rFonts w:asciiTheme="minorEastAsia" w:hAnsiTheme="minorEastAsia" w:cs="Times New Roman" w:hint="eastAsia"/>
          <w:sz w:val="24"/>
          <w:szCs w:val="24"/>
        </w:rPr>
        <w:t>微众银行</w:t>
      </w:r>
      <w:r>
        <w:rPr>
          <w:rFonts w:asciiTheme="minorEastAsia" w:hAnsiTheme="minorEastAsia" w:hint="eastAsia"/>
          <w:sz w:val="24"/>
          <w:szCs w:val="24"/>
        </w:rPr>
        <w:t>申购上述基金，首次最低申购金额为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w:t>
      </w: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三</w:t>
      </w:r>
      <w:r>
        <w:rPr>
          <w:rFonts w:asciiTheme="minorEastAsia" w:hAnsiTheme="minorEastAsia" w:cs="Times New Roman" w:hint="eastAsia"/>
          <w:sz w:val="24"/>
          <w:szCs w:val="24"/>
        </w:rPr>
        <w:t>、定期定额投资业务</w:t>
      </w:r>
    </w:p>
    <w:p w:rsidR="001239AA" w:rsidRDefault="00AD0A9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微众银行</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微众银行</w:t>
      </w:r>
      <w:r>
        <w:rPr>
          <w:rFonts w:asciiTheme="minorEastAsia" w:hAnsiTheme="minorEastAsia" w:hint="eastAsia"/>
          <w:sz w:val="24"/>
          <w:szCs w:val="24"/>
        </w:rPr>
        <w:t>于约定扣款日在投资者指定资金账户内自动完成扣款及基</w:t>
      </w:r>
      <w:r>
        <w:rPr>
          <w:rFonts w:asciiTheme="minorEastAsia" w:hAnsiTheme="minorEastAsia" w:hint="eastAsia"/>
          <w:sz w:val="24"/>
          <w:szCs w:val="24"/>
        </w:rPr>
        <w:lastRenderedPageBreak/>
        <w:t>金申购业务。投资者在办理相关基金定期定额投资业务的同时，仍然可以进行日常申购、赎回业务。</w:t>
      </w:r>
    </w:p>
    <w:p w:rsidR="001239AA" w:rsidRDefault="00AD0A90">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四</w:t>
      </w:r>
      <w:r>
        <w:rPr>
          <w:rFonts w:asciiTheme="minorEastAsia" w:hAnsiTheme="minorEastAsia" w:cs="Times New Roman" w:hint="eastAsia"/>
          <w:sz w:val="24"/>
          <w:szCs w:val="24"/>
        </w:rPr>
        <w:t>、适用投资者</w:t>
      </w:r>
    </w:p>
    <w:p w:rsidR="001239AA" w:rsidRDefault="00AD0A9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1239AA" w:rsidRDefault="00AD0A90">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办理场所</w:t>
      </w:r>
    </w:p>
    <w:p w:rsidR="001239AA" w:rsidRDefault="00AD0A9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sz w:val="24"/>
          <w:szCs w:val="24"/>
        </w:rPr>
        <w:t>月</w:t>
      </w:r>
      <w:r>
        <w:rPr>
          <w:rFonts w:asciiTheme="minorEastAsia" w:hAnsiTheme="minorEastAsia" w:hint="eastAsia"/>
          <w:sz w:val="24"/>
          <w:szCs w:val="24"/>
        </w:rPr>
        <w:t>12</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中信建投北交所精选两年定期开放混合型证券投资基金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016303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01630</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定期定额投资业务申请。</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六</w:t>
      </w:r>
      <w:r>
        <w:rPr>
          <w:rFonts w:asciiTheme="minorEastAsia" w:hAnsiTheme="minorEastAsia" w:cs="Times New Roman" w:hint="eastAsia"/>
          <w:sz w:val="24"/>
          <w:szCs w:val="24"/>
        </w:rPr>
        <w:t>、申请方式</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规定的办理方式申请办理此项业务。</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Pr>
          <w:rFonts w:asciiTheme="minorEastAsia" w:hAnsiTheme="minorEastAsia" w:cs="Times New Roman" w:hint="eastAsia"/>
          <w:sz w:val="24"/>
          <w:szCs w:val="24"/>
        </w:rPr>
        <w:t>、办理时间</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Pr>
          <w:rFonts w:asciiTheme="minorEastAsia" w:hAnsiTheme="minorEastAsia" w:cs="Times New Roman" w:hint="eastAsia"/>
          <w:sz w:val="24"/>
          <w:szCs w:val="24"/>
        </w:rPr>
        <w:t>、扣款日</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Pr>
          <w:rFonts w:asciiTheme="minorEastAsia" w:hAnsiTheme="minorEastAsia" w:cs="Times New Roman" w:hint="eastAsia"/>
          <w:sz w:val="24"/>
          <w:szCs w:val="24"/>
        </w:rPr>
        <w:t>、扣款金额</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十、扣款方式</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一</w:t>
      </w:r>
      <w:r>
        <w:rPr>
          <w:rFonts w:asciiTheme="minorEastAsia" w:hAnsiTheme="minorEastAsia" w:cs="Times New Roman" w:hint="eastAsia"/>
          <w:sz w:val="24"/>
          <w:szCs w:val="24"/>
        </w:rPr>
        <w:t>、交易确认</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查询相应基金的申购确认情况。</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十</w:t>
      </w:r>
      <w:r>
        <w:rPr>
          <w:rFonts w:asciiTheme="minorEastAsia" w:hAnsiTheme="minorEastAsia" w:cs="Times New Roman" w:hint="eastAsia"/>
          <w:sz w:val="24"/>
          <w:szCs w:val="24"/>
        </w:rPr>
        <w:t>二</w:t>
      </w:r>
      <w:r>
        <w:rPr>
          <w:rFonts w:asciiTheme="minorEastAsia" w:hAnsiTheme="minorEastAsia" w:cs="Times New Roman" w:hint="eastAsia"/>
          <w:sz w:val="24"/>
          <w:szCs w:val="24"/>
        </w:rPr>
        <w:t>、定期定额投资业务的变更和终止</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规定的办理方式申请办理业务变更手续；</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微众银</w:t>
      </w:r>
      <w:r>
        <w:rPr>
          <w:rFonts w:asciiTheme="minorEastAsia" w:hAnsiTheme="minorEastAsia" w:cs="Times New Roman" w:hint="eastAsia"/>
          <w:sz w:val="24"/>
          <w:szCs w:val="24"/>
        </w:rPr>
        <w:t>行</w:t>
      </w:r>
      <w:r>
        <w:rPr>
          <w:rFonts w:asciiTheme="minorEastAsia" w:hAnsiTheme="minorEastAsia" w:cs="Times New Roman" w:hint="eastAsia"/>
          <w:sz w:val="24"/>
          <w:szCs w:val="24"/>
        </w:rPr>
        <w:t>规定的办理方式申请办理业务终止手续；</w:t>
      </w:r>
    </w:p>
    <w:p w:rsidR="001239AA" w:rsidRDefault="00AD0A90">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微众银行</w:t>
      </w:r>
      <w:r>
        <w:rPr>
          <w:rFonts w:asciiTheme="minorEastAsia" w:hAnsiTheme="minorEastAsia" w:cs="Times New Roman" w:hint="eastAsia"/>
          <w:sz w:val="24"/>
          <w:szCs w:val="24"/>
        </w:rPr>
        <w:t>的有关规定。</w:t>
      </w:r>
    </w:p>
    <w:p w:rsidR="001239AA" w:rsidRDefault="00AD0A90">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三</w:t>
      </w:r>
      <w:r>
        <w:rPr>
          <w:rFonts w:asciiTheme="minorEastAsia" w:hAnsiTheme="minorEastAsia" w:cs="Times New Roman" w:hint="eastAsia"/>
          <w:sz w:val="24"/>
          <w:szCs w:val="24"/>
        </w:rPr>
        <w:t>、</w:t>
      </w:r>
      <w:r>
        <w:rPr>
          <w:rFonts w:asciiTheme="minorEastAsia" w:hAnsiTheme="minorEastAsia"/>
          <w:sz w:val="24"/>
          <w:szCs w:val="24"/>
        </w:rPr>
        <w:t>投资者通过</w:t>
      </w:r>
      <w:r>
        <w:rPr>
          <w:rFonts w:asciiTheme="minorEastAsia" w:hAnsiTheme="minorEastAsia" w:cs="Times New Roman" w:hint="eastAsia"/>
          <w:sz w:val="24"/>
          <w:szCs w:val="24"/>
        </w:rPr>
        <w:t>微众银行</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上述基金（除</w:t>
      </w:r>
      <w:r>
        <w:rPr>
          <w:rFonts w:asciiTheme="minorEastAsia" w:hAnsiTheme="minorEastAsia" w:hint="eastAsia"/>
          <w:sz w:val="24"/>
          <w:szCs w:val="24"/>
        </w:rPr>
        <w:t>中信建投量化进取</w:t>
      </w:r>
      <w:r>
        <w:rPr>
          <w:rFonts w:asciiTheme="minorEastAsia" w:hAnsiTheme="minorEastAsia" w:hint="eastAsia"/>
          <w:sz w:val="24"/>
          <w:szCs w:val="24"/>
        </w:rPr>
        <w:t>6</w:t>
      </w:r>
      <w:r>
        <w:rPr>
          <w:rFonts w:asciiTheme="minorEastAsia" w:hAnsiTheme="minorEastAsia" w:hint="eastAsia"/>
          <w:sz w:val="24"/>
          <w:szCs w:val="24"/>
        </w:rPr>
        <w:t>个月持有期混合型证券投资基金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011410</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微众银行</w:t>
      </w:r>
      <w:r>
        <w:rPr>
          <w:rFonts w:asciiTheme="minorEastAsia" w:hAnsiTheme="minorEastAsia" w:hint="eastAsia"/>
          <w:sz w:val="24"/>
          <w:szCs w:val="24"/>
        </w:rPr>
        <w:t>的规定为准</w:t>
      </w:r>
      <w:r>
        <w:rPr>
          <w:rFonts w:asciiTheme="minorEastAsia" w:hAnsiTheme="minorEastAsia" w:hint="eastAsia"/>
          <w:sz w:val="24"/>
          <w:szCs w:val="24"/>
        </w:rPr>
        <w:t>。</w:t>
      </w:r>
    </w:p>
    <w:p w:rsidR="001239AA" w:rsidRDefault="00AD0A90">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hint="eastAsia"/>
          <w:sz w:val="24"/>
          <w:szCs w:val="24"/>
        </w:rPr>
        <w:t>四</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1239AA" w:rsidRDefault="00AD0A90">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深圳前海微众银行股份有限公司</w:t>
      </w:r>
    </w:p>
    <w:p w:rsidR="001239AA" w:rsidRDefault="00AD0A90">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www.webank.com</w:t>
      </w:r>
    </w:p>
    <w:p w:rsidR="001239AA" w:rsidRDefault="00AD0A90">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95384</w:t>
      </w:r>
    </w:p>
    <w:p w:rsidR="001239AA" w:rsidRDefault="00AD0A90">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1239AA" w:rsidRDefault="001239AA">
      <w:pPr>
        <w:spacing w:line="360" w:lineRule="auto"/>
        <w:ind w:firstLineChars="200" w:firstLine="480"/>
        <w:rPr>
          <w:rFonts w:asciiTheme="minorEastAsia" w:hAnsiTheme="minorEastAsia" w:cs="Times New Roman"/>
          <w:sz w:val="24"/>
          <w:szCs w:val="24"/>
        </w:rPr>
      </w:pP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hint="eastAsia"/>
          <w:sz w:val="24"/>
          <w:szCs w:val="24"/>
        </w:rPr>
        <w:t>适用基金中设有最短持有期的基金于每份基金份额最短持有期结束后可以办理赎回业务</w:t>
      </w:r>
      <w:r>
        <w:rPr>
          <w:rFonts w:asciiTheme="minorEastAsia" w:hAnsiTheme="minorEastAsia" w:cs="Times New Roman" w:hint="eastAsia"/>
          <w:sz w:val="24"/>
          <w:szCs w:val="24"/>
        </w:rPr>
        <w:t>；</w:t>
      </w:r>
      <w:r>
        <w:rPr>
          <w:rFonts w:asciiTheme="minorEastAsia" w:hAnsiTheme="minorEastAsia" w:cs="Times New Roman" w:hint="eastAsia"/>
          <w:sz w:val="24"/>
          <w:szCs w:val="24"/>
        </w:rPr>
        <w:t>定期开放式基金于开放期内可以办理申购、赎回业务</w:t>
      </w:r>
      <w:bookmarkStart w:id="0" w:name="_GoBack"/>
      <w:bookmarkEnd w:id="0"/>
      <w:r>
        <w:rPr>
          <w:rFonts w:asciiTheme="minorEastAsia" w:hAnsiTheme="minorEastAsia" w:cs="Times New Roman" w:hint="eastAsia"/>
          <w:sz w:val="24"/>
          <w:szCs w:val="24"/>
        </w:rPr>
        <w:t>。</w:t>
      </w:r>
    </w:p>
    <w:p w:rsidR="001239AA" w:rsidRDefault="00AD0A90">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1239AA" w:rsidRDefault="00AD0A90">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1239AA" w:rsidRDefault="001239AA">
      <w:pPr>
        <w:tabs>
          <w:tab w:val="center" w:pos="3686"/>
          <w:tab w:val="center" w:pos="6237"/>
        </w:tabs>
        <w:spacing w:line="360" w:lineRule="auto"/>
        <w:rPr>
          <w:rFonts w:asciiTheme="minorEastAsia" w:hAnsiTheme="minorEastAsia" w:cs="Times New Roman"/>
          <w:sz w:val="24"/>
          <w:szCs w:val="24"/>
        </w:rPr>
      </w:pPr>
    </w:p>
    <w:p w:rsidR="001239AA" w:rsidRDefault="00AD0A90">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1239AA" w:rsidRDefault="00AD0A90">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3</w:t>
      </w:r>
      <w:r>
        <w:rPr>
          <w:rFonts w:asciiTheme="minorEastAsia" w:hAnsiTheme="minorEastAsia" w:cs="Times New Roman" w:hint="eastAsia"/>
          <w:sz w:val="24"/>
          <w:szCs w:val="24"/>
        </w:rPr>
        <w:t>月</w:t>
      </w:r>
      <w:r>
        <w:rPr>
          <w:rFonts w:asciiTheme="minorEastAsia" w:hAnsiTheme="minorEastAsia" w:cs="Times New Roman" w:hint="eastAsia"/>
          <w:sz w:val="24"/>
          <w:szCs w:val="24"/>
        </w:rPr>
        <w:t>12</w:t>
      </w:r>
      <w:r>
        <w:rPr>
          <w:rFonts w:asciiTheme="minorEastAsia" w:hAnsiTheme="minorEastAsia" w:cs="Times New Roman" w:hint="eastAsia"/>
          <w:sz w:val="24"/>
          <w:szCs w:val="24"/>
        </w:rPr>
        <w:t>日</w:t>
      </w:r>
    </w:p>
    <w:sectPr w:rsidR="001239AA" w:rsidSect="001239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239AA"/>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AD0A90"/>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5504736"/>
    <w:rsid w:val="05B13426"/>
    <w:rsid w:val="0A0C48B0"/>
    <w:rsid w:val="0DC64B08"/>
    <w:rsid w:val="100E196D"/>
    <w:rsid w:val="105D4B0C"/>
    <w:rsid w:val="2156253D"/>
    <w:rsid w:val="22454AED"/>
    <w:rsid w:val="25EF7A3C"/>
    <w:rsid w:val="26505E60"/>
    <w:rsid w:val="27B02368"/>
    <w:rsid w:val="304729CD"/>
    <w:rsid w:val="35B10AA1"/>
    <w:rsid w:val="3C70707C"/>
    <w:rsid w:val="3C9B60FA"/>
    <w:rsid w:val="3D9B7F57"/>
    <w:rsid w:val="3DDE6050"/>
    <w:rsid w:val="3E1D0952"/>
    <w:rsid w:val="43E143A0"/>
    <w:rsid w:val="448A7DC7"/>
    <w:rsid w:val="4597266A"/>
    <w:rsid w:val="48526142"/>
    <w:rsid w:val="4A090980"/>
    <w:rsid w:val="4AB72440"/>
    <w:rsid w:val="4B62209A"/>
    <w:rsid w:val="4CC74B6F"/>
    <w:rsid w:val="4D9E047D"/>
    <w:rsid w:val="4DD57515"/>
    <w:rsid w:val="4DF12B4B"/>
    <w:rsid w:val="4E724E78"/>
    <w:rsid w:val="50740D50"/>
    <w:rsid w:val="57202D78"/>
    <w:rsid w:val="591D435E"/>
    <w:rsid w:val="5B0E5CCC"/>
    <w:rsid w:val="5D2F1D35"/>
    <w:rsid w:val="62BE7BF3"/>
    <w:rsid w:val="647B7BF2"/>
    <w:rsid w:val="64B77038"/>
    <w:rsid w:val="64BA455B"/>
    <w:rsid w:val="65DF6110"/>
    <w:rsid w:val="6F105DD6"/>
    <w:rsid w:val="720660AA"/>
    <w:rsid w:val="72E54D9D"/>
    <w:rsid w:val="73296B7E"/>
    <w:rsid w:val="793D1E0C"/>
    <w:rsid w:val="7C2D79D7"/>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1239AA"/>
    <w:pPr>
      <w:jc w:val="left"/>
    </w:pPr>
  </w:style>
  <w:style w:type="paragraph" w:styleId="a4">
    <w:name w:val="Balloon Text"/>
    <w:basedOn w:val="a"/>
    <w:link w:val="Char0"/>
    <w:autoRedefine/>
    <w:uiPriority w:val="99"/>
    <w:unhideWhenUsed/>
    <w:qFormat/>
    <w:rsid w:val="001239AA"/>
    <w:rPr>
      <w:sz w:val="18"/>
      <w:szCs w:val="18"/>
    </w:rPr>
  </w:style>
  <w:style w:type="paragraph" w:styleId="a5">
    <w:name w:val="footer"/>
    <w:basedOn w:val="a"/>
    <w:link w:val="Char1"/>
    <w:uiPriority w:val="99"/>
    <w:unhideWhenUsed/>
    <w:qFormat/>
    <w:rsid w:val="001239A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1239A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1239AA"/>
    <w:rPr>
      <w:b/>
      <w:bCs/>
    </w:rPr>
  </w:style>
  <w:style w:type="table" w:styleId="a8">
    <w:name w:val="Table Grid"/>
    <w:basedOn w:val="a1"/>
    <w:autoRedefine/>
    <w:uiPriority w:val="59"/>
    <w:qFormat/>
    <w:rsid w:val="00123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autoRedefine/>
    <w:uiPriority w:val="99"/>
    <w:unhideWhenUsed/>
    <w:qFormat/>
    <w:rsid w:val="001239AA"/>
    <w:rPr>
      <w:color w:val="555555"/>
      <w:u w:val="none"/>
    </w:rPr>
  </w:style>
  <w:style w:type="character" w:styleId="aa">
    <w:name w:val="Hyperlink"/>
    <w:basedOn w:val="a0"/>
    <w:autoRedefine/>
    <w:uiPriority w:val="99"/>
    <w:unhideWhenUsed/>
    <w:qFormat/>
    <w:rsid w:val="001239AA"/>
    <w:rPr>
      <w:color w:val="0563C1" w:themeColor="hyperlink"/>
      <w:u w:val="single"/>
    </w:rPr>
  </w:style>
  <w:style w:type="character" w:styleId="ab">
    <w:name w:val="annotation reference"/>
    <w:basedOn w:val="a0"/>
    <w:autoRedefine/>
    <w:uiPriority w:val="99"/>
    <w:semiHidden/>
    <w:unhideWhenUsed/>
    <w:qFormat/>
    <w:rsid w:val="001239AA"/>
    <w:rPr>
      <w:sz w:val="21"/>
      <w:szCs w:val="21"/>
    </w:rPr>
  </w:style>
  <w:style w:type="character" w:customStyle="1" w:styleId="Char2">
    <w:name w:val="页眉 Char"/>
    <w:basedOn w:val="a0"/>
    <w:link w:val="a6"/>
    <w:autoRedefine/>
    <w:uiPriority w:val="99"/>
    <w:qFormat/>
    <w:rsid w:val="001239AA"/>
    <w:rPr>
      <w:sz w:val="18"/>
      <w:szCs w:val="18"/>
    </w:rPr>
  </w:style>
  <w:style w:type="character" w:customStyle="1" w:styleId="Char1">
    <w:name w:val="页脚 Char"/>
    <w:basedOn w:val="a0"/>
    <w:link w:val="a5"/>
    <w:autoRedefine/>
    <w:uiPriority w:val="99"/>
    <w:qFormat/>
    <w:rsid w:val="001239AA"/>
    <w:rPr>
      <w:sz w:val="18"/>
      <w:szCs w:val="18"/>
    </w:rPr>
  </w:style>
  <w:style w:type="paragraph" w:customStyle="1" w:styleId="1">
    <w:name w:val="列出段落1"/>
    <w:basedOn w:val="a"/>
    <w:autoRedefine/>
    <w:uiPriority w:val="34"/>
    <w:qFormat/>
    <w:rsid w:val="001239AA"/>
    <w:pPr>
      <w:ind w:firstLineChars="200" w:firstLine="420"/>
    </w:pPr>
  </w:style>
  <w:style w:type="character" w:customStyle="1" w:styleId="Char0">
    <w:name w:val="批注框文本 Char"/>
    <w:basedOn w:val="a0"/>
    <w:link w:val="a4"/>
    <w:autoRedefine/>
    <w:uiPriority w:val="99"/>
    <w:semiHidden/>
    <w:qFormat/>
    <w:rsid w:val="001239AA"/>
    <w:rPr>
      <w:sz w:val="18"/>
      <w:szCs w:val="18"/>
    </w:rPr>
  </w:style>
  <w:style w:type="character" w:customStyle="1" w:styleId="hover34">
    <w:name w:val="hover34"/>
    <w:basedOn w:val="a0"/>
    <w:autoRedefine/>
    <w:qFormat/>
    <w:rsid w:val="001239AA"/>
    <w:rPr>
      <w:shd w:val="clear" w:color="auto" w:fill="F39700"/>
    </w:rPr>
  </w:style>
  <w:style w:type="paragraph" w:styleId="ac">
    <w:name w:val="List Paragraph"/>
    <w:basedOn w:val="a"/>
    <w:autoRedefine/>
    <w:uiPriority w:val="99"/>
    <w:qFormat/>
    <w:rsid w:val="001239AA"/>
    <w:pPr>
      <w:ind w:firstLineChars="200" w:firstLine="420"/>
    </w:pPr>
  </w:style>
  <w:style w:type="paragraph" w:customStyle="1" w:styleId="Default">
    <w:name w:val="Default"/>
    <w:autoRedefine/>
    <w:qFormat/>
    <w:rsid w:val="001239AA"/>
    <w:pPr>
      <w:widowControl w:val="0"/>
      <w:autoSpaceDE w:val="0"/>
      <w:autoSpaceDN w:val="0"/>
      <w:adjustRightInd w:val="0"/>
    </w:pPr>
    <w:rPr>
      <w:rFonts w:ascii="宋体" w:cs="宋体"/>
      <w:color w:val="000000"/>
      <w:sz w:val="24"/>
      <w:szCs w:val="24"/>
    </w:rPr>
  </w:style>
  <w:style w:type="character" w:customStyle="1" w:styleId="10">
    <w:name w:val="未处理的提及1"/>
    <w:basedOn w:val="a0"/>
    <w:autoRedefine/>
    <w:uiPriority w:val="99"/>
    <w:semiHidden/>
    <w:unhideWhenUsed/>
    <w:qFormat/>
    <w:rsid w:val="001239AA"/>
    <w:rPr>
      <w:color w:val="605E5C"/>
      <w:shd w:val="clear" w:color="auto" w:fill="E1DFDD"/>
    </w:rPr>
  </w:style>
  <w:style w:type="character" w:customStyle="1" w:styleId="Char">
    <w:name w:val="批注文字 Char"/>
    <w:basedOn w:val="a0"/>
    <w:link w:val="a3"/>
    <w:autoRedefine/>
    <w:uiPriority w:val="99"/>
    <w:semiHidden/>
    <w:qFormat/>
    <w:rsid w:val="001239AA"/>
    <w:rPr>
      <w:rFonts w:asciiTheme="minorHAnsi" w:eastAsiaTheme="minorEastAsia" w:hAnsiTheme="minorHAnsi" w:cstheme="minorBidi"/>
      <w:kern w:val="2"/>
      <w:sz w:val="21"/>
      <w:szCs w:val="22"/>
    </w:rPr>
  </w:style>
  <w:style w:type="character" w:customStyle="1" w:styleId="Char3">
    <w:name w:val="批注主题 Char"/>
    <w:basedOn w:val="Char"/>
    <w:link w:val="a7"/>
    <w:autoRedefine/>
    <w:uiPriority w:val="99"/>
    <w:semiHidden/>
    <w:qFormat/>
    <w:rsid w:val="001239AA"/>
    <w:rPr>
      <w:rFonts w:asciiTheme="minorHAnsi" w:eastAsiaTheme="minorEastAsia" w:hAnsiTheme="minorHAnsi" w:cstheme="minorBidi"/>
      <w:b/>
      <w:bCs/>
      <w:kern w:val="2"/>
      <w:sz w:val="21"/>
      <w:szCs w:val="22"/>
    </w:rPr>
  </w:style>
  <w:style w:type="paragraph" w:customStyle="1" w:styleId="11">
    <w:name w:val="修订1"/>
    <w:autoRedefine/>
    <w:hidden/>
    <w:uiPriority w:val="99"/>
    <w:semiHidden/>
    <w:qFormat/>
    <w:rsid w:val="001239AA"/>
    <w:rPr>
      <w:rFonts w:asciiTheme="minorHAnsi" w:eastAsiaTheme="minorEastAsia" w:hAnsiTheme="minorHAnsi" w:cstheme="minorBidi"/>
      <w:kern w:val="2"/>
      <w:sz w:val="21"/>
      <w:szCs w:val="22"/>
    </w:rPr>
  </w:style>
  <w:style w:type="character" w:customStyle="1" w:styleId="2">
    <w:name w:val="未处理的提及2"/>
    <w:basedOn w:val="a0"/>
    <w:autoRedefine/>
    <w:uiPriority w:val="99"/>
    <w:semiHidden/>
    <w:unhideWhenUsed/>
    <w:qFormat/>
    <w:rsid w:val="001239AA"/>
    <w:rPr>
      <w:color w:val="605E5C"/>
      <w:shd w:val="clear" w:color="auto" w:fill="E1DFDD"/>
    </w:rPr>
  </w:style>
  <w:style w:type="paragraph" w:customStyle="1" w:styleId="dazhangjie">
    <w:name w:val="dazhangjie"/>
    <w:basedOn w:val="a"/>
    <w:autoRedefine/>
    <w:qFormat/>
    <w:rsid w:val="001239AA"/>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3BAC-6484-4025-877D-080CA775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1728</Characters>
  <Application>Microsoft Office Word</Application>
  <DocSecurity>4</DocSecurity>
  <Lines>14</Lines>
  <Paragraphs>4</Paragraphs>
  <ScaleCrop>false</ScaleCrop>
  <Company>CNSTOCK</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B3DEAC08D2DD4526B93769E53530A0DF</vt:lpwstr>
  </property>
</Properties>
</file>