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5F" w:rsidRDefault="00FE7D1C">
      <w:pPr>
        <w:spacing w:line="360" w:lineRule="auto"/>
        <w:jc w:val="center"/>
      </w:pPr>
      <w:bookmarkStart w:id="0" w:name="_GoBack"/>
      <w:bookmarkEnd w:id="0"/>
      <w:r>
        <w:rPr>
          <w:rFonts w:ascii="Times New Roman" w:hAnsi="Times New Roman" w:cs="Times New Roman"/>
          <w:b/>
          <w:sz w:val="30"/>
          <w:szCs w:val="30"/>
        </w:rPr>
        <w:t>富国</w:t>
      </w:r>
      <w:r>
        <w:rPr>
          <w:rFonts w:ascii="Times New Roman" w:hAnsi="Times New Roman" w:cs="Times New Roman" w:hint="eastAsia"/>
          <w:b/>
          <w:sz w:val="30"/>
          <w:szCs w:val="30"/>
        </w:rPr>
        <w:t>基金管理有限公司关于旗下部分深交所上市基金变更场内简称的公告</w:t>
      </w:r>
      <w:r>
        <w:rPr>
          <w:rFonts w:ascii="Times New Roman" w:hAnsi="Times New Roman" w:cs="Times New Roman" w:hint="eastAsia"/>
          <w:b/>
          <w:sz w:val="30"/>
          <w:szCs w:val="30"/>
        </w:rPr>
        <w:t xml:space="preserve"> </w:t>
      </w:r>
    </w:p>
    <w:p w:rsidR="009C625F" w:rsidRDefault="00FE7D1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经向</w:t>
      </w:r>
      <w:r>
        <w:rPr>
          <w:rFonts w:ascii="Times New Roman" w:hAnsi="Times New Roman" w:cs="Times New Roman" w:hint="eastAsia"/>
          <w:sz w:val="24"/>
          <w:szCs w:val="24"/>
        </w:rPr>
        <w:t>深圳</w:t>
      </w:r>
      <w:r>
        <w:rPr>
          <w:rFonts w:ascii="Times New Roman" w:hAnsi="Times New Roman" w:cs="Times New Roman"/>
          <w:sz w:val="24"/>
          <w:szCs w:val="24"/>
        </w:rPr>
        <w:t>证券交易所</w:t>
      </w:r>
      <w:r>
        <w:rPr>
          <w:rFonts w:ascii="宋体" w:eastAsia="宋体" w:hAnsi="宋体" w:cs="宋体"/>
          <w:sz w:val="24"/>
          <w:szCs w:val="24"/>
        </w:rPr>
        <w:t>（以下简称</w:t>
      </w:r>
      <w:r>
        <w:rPr>
          <w:rFonts w:ascii="宋体" w:eastAsia="宋体" w:hAnsi="宋体" w:cs="宋体"/>
          <w:sz w:val="24"/>
          <w:szCs w:val="24"/>
        </w:rPr>
        <w:t>“</w:t>
      </w:r>
      <w:r>
        <w:rPr>
          <w:rFonts w:ascii="宋体" w:eastAsia="宋体" w:hAnsi="宋体" w:cs="宋体" w:hint="eastAsia"/>
          <w:sz w:val="24"/>
          <w:szCs w:val="24"/>
        </w:rPr>
        <w:t>深</w:t>
      </w:r>
      <w:r>
        <w:rPr>
          <w:rFonts w:ascii="宋体" w:eastAsia="宋体" w:hAnsi="宋体" w:cs="宋体"/>
          <w:sz w:val="24"/>
          <w:szCs w:val="24"/>
        </w:rPr>
        <w:t>交所</w:t>
      </w:r>
      <w:r>
        <w:rPr>
          <w:rFonts w:ascii="宋体" w:eastAsia="宋体" w:hAnsi="宋体" w:cs="宋体"/>
          <w:sz w:val="24"/>
          <w:szCs w:val="24"/>
        </w:rPr>
        <w:t>”</w:t>
      </w:r>
      <w:r>
        <w:rPr>
          <w:rFonts w:ascii="宋体" w:eastAsia="宋体" w:hAnsi="宋体" w:cs="宋体"/>
          <w:sz w:val="24"/>
          <w:szCs w:val="24"/>
        </w:rPr>
        <w:t>）</w:t>
      </w:r>
      <w:r>
        <w:rPr>
          <w:rFonts w:ascii="Times New Roman" w:hAnsi="Times New Roman" w:cs="Times New Roman"/>
          <w:sz w:val="24"/>
          <w:szCs w:val="24"/>
        </w:rPr>
        <w:t>申请，</w:t>
      </w:r>
      <w:r>
        <w:rPr>
          <w:rFonts w:ascii="Times New Roman" w:hAnsi="Times New Roman" w:cs="Times New Roman" w:hint="eastAsia"/>
          <w:sz w:val="24"/>
          <w:szCs w:val="24"/>
        </w:rPr>
        <w:t>富国</w:t>
      </w:r>
      <w:r>
        <w:rPr>
          <w:rFonts w:ascii="宋体" w:eastAsia="宋体" w:hAnsi="宋体" w:cs="宋体"/>
          <w:sz w:val="24"/>
          <w:szCs w:val="24"/>
        </w:rPr>
        <w:t>基金管理有限公司</w:t>
      </w:r>
      <w:r>
        <w:rPr>
          <w:rFonts w:ascii="Times New Roman" w:hAnsi="Times New Roman" w:cs="Times New Roman" w:hint="eastAsia"/>
          <w:sz w:val="24"/>
          <w:szCs w:val="24"/>
        </w:rPr>
        <w:t>旗下部分深交所上市基金将自</w:t>
      </w:r>
      <w:r>
        <w:rPr>
          <w:rFonts w:ascii="Times New Roman" w:hAnsi="Times New Roman" w:cs="Times New Roman" w:hint="eastAsia"/>
          <w:sz w:val="24"/>
          <w:szCs w:val="24"/>
        </w:rPr>
        <w:t>2024</w:t>
      </w:r>
      <w:r>
        <w:rPr>
          <w:rFonts w:ascii="Times New Roman" w:hAnsi="Times New Roman" w:cs="Times New Roman" w:hint="eastAsia"/>
          <w:sz w:val="24"/>
          <w:szCs w:val="24"/>
        </w:rPr>
        <w:t>年</w:t>
      </w:r>
      <w:r>
        <w:rPr>
          <w:rFonts w:ascii="Times New Roman" w:hAnsi="Times New Roman" w:cs="Times New Roman" w:hint="eastAsia"/>
          <w:sz w:val="24"/>
          <w:szCs w:val="24"/>
        </w:rPr>
        <w:t>3</w:t>
      </w:r>
      <w:r>
        <w:rPr>
          <w:rFonts w:ascii="Times New Roman" w:hAnsi="Times New Roman" w:cs="Times New Roman" w:hint="eastAsia"/>
          <w:sz w:val="24"/>
          <w:szCs w:val="24"/>
        </w:rPr>
        <w:t>月</w:t>
      </w:r>
      <w:r>
        <w:rPr>
          <w:rFonts w:ascii="Times New Roman" w:hAnsi="Times New Roman" w:cs="Times New Roman" w:hint="eastAsia"/>
          <w:sz w:val="24"/>
          <w:szCs w:val="24"/>
        </w:rPr>
        <w:t>12</w:t>
      </w:r>
      <w:r>
        <w:rPr>
          <w:rFonts w:ascii="Times New Roman" w:hAnsi="Times New Roman" w:cs="Times New Roman" w:hint="eastAsia"/>
          <w:sz w:val="24"/>
          <w:szCs w:val="24"/>
        </w:rPr>
        <w:t>日</w:t>
      </w:r>
      <w:r>
        <w:rPr>
          <w:rFonts w:ascii="Times New Roman" w:hAnsi="Times New Roman" w:cs="Times New Roman"/>
          <w:sz w:val="24"/>
          <w:szCs w:val="24"/>
        </w:rPr>
        <w:t>起变更</w:t>
      </w:r>
      <w:r>
        <w:rPr>
          <w:rFonts w:ascii="Times New Roman" w:hAnsi="Times New Roman" w:cs="Times New Roman" w:hint="eastAsia"/>
          <w:sz w:val="24"/>
          <w:szCs w:val="24"/>
        </w:rPr>
        <w:t>场内简称。</w:t>
      </w:r>
      <w:r>
        <w:rPr>
          <w:rFonts w:ascii="宋体" w:eastAsia="宋体" w:hAnsi="宋体" w:cs="宋体"/>
          <w:sz w:val="24"/>
          <w:szCs w:val="24"/>
        </w:rPr>
        <w:t>涉及基金及变更情况如下：</w:t>
      </w:r>
    </w:p>
    <w:tbl>
      <w:tblPr>
        <w:tblStyle w:val="a6"/>
        <w:tblW w:w="0" w:type="auto"/>
        <w:tblLayout w:type="fixed"/>
        <w:tblLook w:val="04A0"/>
      </w:tblPr>
      <w:tblGrid>
        <w:gridCol w:w="1253"/>
        <w:gridCol w:w="2895"/>
        <w:gridCol w:w="2074"/>
        <w:gridCol w:w="2074"/>
      </w:tblGrid>
      <w:tr w:rsidR="009C625F">
        <w:tc>
          <w:tcPr>
            <w:tcW w:w="1253" w:type="dxa"/>
            <w:vAlign w:val="center"/>
          </w:tcPr>
          <w:p w:rsidR="009C625F" w:rsidRDefault="00FE7D1C">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基金代码</w:t>
            </w:r>
          </w:p>
        </w:tc>
        <w:tc>
          <w:tcPr>
            <w:tcW w:w="2895" w:type="dxa"/>
            <w:vAlign w:val="center"/>
          </w:tcPr>
          <w:p w:rsidR="009C625F" w:rsidRDefault="00FE7D1C">
            <w:pPr>
              <w:adjustRightInd w:val="0"/>
              <w:snapToGrid w:val="0"/>
              <w:jc w:val="center"/>
              <w:rPr>
                <w:rFonts w:ascii="Times New Roman" w:hAnsi="Times New Roman" w:cs="Times New Roman"/>
                <w:sz w:val="24"/>
                <w:szCs w:val="24"/>
              </w:rPr>
            </w:pPr>
            <w:r>
              <w:rPr>
                <w:rFonts w:ascii="Times New Roman" w:hAnsi="Times New Roman" w:cs="Times New Roman"/>
                <w:sz w:val="24"/>
                <w:szCs w:val="24"/>
              </w:rPr>
              <w:t>基金全称</w:t>
            </w:r>
          </w:p>
        </w:tc>
        <w:tc>
          <w:tcPr>
            <w:tcW w:w="2074" w:type="dxa"/>
            <w:vAlign w:val="center"/>
          </w:tcPr>
          <w:p w:rsidR="009C625F" w:rsidRDefault="00FE7D1C">
            <w:pPr>
              <w:adjustRightInd w:val="0"/>
              <w:snapToGrid w:val="0"/>
              <w:jc w:val="center"/>
              <w:rPr>
                <w:rFonts w:ascii="Times New Roman" w:hAnsi="Times New Roman" w:cs="Times New Roman"/>
                <w:sz w:val="24"/>
                <w:szCs w:val="24"/>
              </w:rPr>
            </w:pPr>
            <w:r>
              <w:rPr>
                <w:rFonts w:ascii="Times New Roman" w:hAnsi="Times New Roman" w:cs="Times New Roman" w:hint="eastAsia"/>
                <w:sz w:val="24"/>
                <w:szCs w:val="24"/>
              </w:rPr>
              <w:t>原</w:t>
            </w:r>
            <w:r>
              <w:rPr>
                <w:rFonts w:ascii="Times New Roman" w:hAnsi="Times New Roman" w:cs="Times New Roman"/>
                <w:sz w:val="24"/>
                <w:szCs w:val="24"/>
              </w:rPr>
              <w:t>场内</w:t>
            </w:r>
            <w:r>
              <w:rPr>
                <w:rFonts w:ascii="Times New Roman" w:hAnsi="Times New Roman" w:cs="Times New Roman" w:hint="eastAsia"/>
                <w:sz w:val="24"/>
                <w:szCs w:val="24"/>
              </w:rPr>
              <w:t>简称</w:t>
            </w:r>
          </w:p>
        </w:tc>
        <w:tc>
          <w:tcPr>
            <w:tcW w:w="2074" w:type="dxa"/>
            <w:vAlign w:val="center"/>
          </w:tcPr>
          <w:p w:rsidR="009C625F" w:rsidRDefault="00FE7D1C">
            <w:pPr>
              <w:adjustRightInd w:val="0"/>
              <w:snapToGrid w:val="0"/>
              <w:jc w:val="center"/>
              <w:rPr>
                <w:rFonts w:ascii="Times New Roman" w:hAnsi="Times New Roman" w:cs="Times New Roman"/>
                <w:b/>
                <w:bCs/>
                <w:sz w:val="24"/>
                <w:szCs w:val="24"/>
              </w:rPr>
            </w:pPr>
            <w:r>
              <w:rPr>
                <w:rFonts w:ascii="Times New Roman" w:hAnsi="Times New Roman" w:cs="Times New Roman"/>
                <w:b/>
                <w:bCs/>
                <w:sz w:val="24"/>
                <w:szCs w:val="24"/>
              </w:rPr>
              <w:t>变更后</w:t>
            </w:r>
            <w:r>
              <w:rPr>
                <w:rFonts w:ascii="Times New Roman" w:hAnsi="Times New Roman" w:cs="Times New Roman" w:hint="eastAsia"/>
                <w:b/>
                <w:bCs/>
                <w:sz w:val="24"/>
                <w:szCs w:val="24"/>
              </w:rPr>
              <w:t>场内</w:t>
            </w:r>
            <w:r>
              <w:rPr>
                <w:rFonts w:ascii="Times New Roman" w:hAnsi="Times New Roman" w:cs="Times New Roman"/>
                <w:b/>
                <w:bCs/>
                <w:sz w:val="24"/>
                <w:szCs w:val="24"/>
              </w:rPr>
              <w:t>简称</w:t>
            </w:r>
          </w:p>
        </w:tc>
      </w:tr>
      <w:tr w:rsidR="009C625F">
        <w:tc>
          <w:tcPr>
            <w:tcW w:w="1253" w:type="dxa"/>
            <w:vAlign w:val="center"/>
          </w:tcPr>
          <w:p w:rsidR="009C625F" w:rsidRDefault="00FE7D1C">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lang/>
              </w:rPr>
              <w:t>159748</w:t>
            </w:r>
          </w:p>
        </w:tc>
        <w:tc>
          <w:tcPr>
            <w:tcW w:w="2895" w:type="dxa"/>
          </w:tcPr>
          <w:p w:rsidR="009C625F" w:rsidRDefault="00FE7D1C">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hint="eastAsia"/>
                <w:sz w:val="24"/>
                <w:szCs w:val="24"/>
                <w:lang/>
              </w:rPr>
              <w:t>富国中证沪港深创新药产业交易型开放式指数证券投资基金</w:t>
            </w:r>
          </w:p>
        </w:tc>
        <w:tc>
          <w:tcPr>
            <w:tcW w:w="2074" w:type="dxa"/>
            <w:vAlign w:val="center"/>
          </w:tcPr>
          <w:p w:rsidR="009C625F" w:rsidRDefault="00FE7D1C">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lang/>
              </w:rPr>
              <w:t>沪港深创新药</w:t>
            </w:r>
            <w:r>
              <w:rPr>
                <w:rFonts w:ascii="Times New Roman" w:hAnsi="Times New Roman" w:cs="Times New Roman" w:hint="eastAsia"/>
                <w:sz w:val="24"/>
                <w:szCs w:val="24"/>
                <w:lang/>
              </w:rPr>
              <w:t>ETF</w:t>
            </w:r>
          </w:p>
        </w:tc>
        <w:tc>
          <w:tcPr>
            <w:tcW w:w="2074" w:type="dxa"/>
            <w:vAlign w:val="center"/>
          </w:tcPr>
          <w:p w:rsidR="009C625F" w:rsidRDefault="00FE7D1C">
            <w:pPr>
              <w:widowControl/>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lang/>
              </w:rPr>
              <w:t>创新药</w:t>
            </w:r>
            <w:r>
              <w:rPr>
                <w:rFonts w:ascii="Times New Roman" w:hAnsi="Times New Roman" w:cs="Times New Roman" w:hint="eastAsia"/>
                <w:b/>
                <w:bCs/>
                <w:sz w:val="24"/>
                <w:szCs w:val="24"/>
                <w:lang/>
              </w:rPr>
              <w:t>ETF</w:t>
            </w:r>
            <w:r>
              <w:rPr>
                <w:rFonts w:ascii="Times New Roman" w:hAnsi="Times New Roman" w:cs="Times New Roman" w:hint="eastAsia"/>
                <w:b/>
                <w:bCs/>
                <w:sz w:val="24"/>
                <w:szCs w:val="24"/>
                <w:lang/>
              </w:rPr>
              <w:t>富国</w:t>
            </w:r>
          </w:p>
        </w:tc>
      </w:tr>
      <w:tr w:rsidR="009C625F">
        <w:tc>
          <w:tcPr>
            <w:tcW w:w="1253" w:type="dxa"/>
            <w:vAlign w:val="center"/>
          </w:tcPr>
          <w:p w:rsidR="009C625F" w:rsidRDefault="00FE7D1C">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lang/>
              </w:rPr>
              <w:t>159676</w:t>
            </w:r>
          </w:p>
        </w:tc>
        <w:tc>
          <w:tcPr>
            <w:tcW w:w="2895" w:type="dxa"/>
          </w:tcPr>
          <w:p w:rsidR="009C625F" w:rsidRDefault="00FE7D1C">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hint="eastAsia"/>
                <w:sz w:val="24"/>
                <w:szCs w:val="24"/>
                <w:lang/>
              </w:rPr>
              <w:t>富国创业板增强策略交易型开放式指数证券投资基金</w:t>
            </w:r>
          </w:p>
        </w:tc>
        <w:tc>
          <w:tcPr>
            <w:tcW w:w="2074" w:type="dxa"/>
            <w:vAlign w:val="center"/>
          </w:tcPr>
          <w:p w:rsidR="009C625F" w:rsidRDefault="00FE7D1C">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lang/>
              </w:rPr>
              <w:t>创业板</w:t>
            </w:r>
            <w:r>
              <w:rPr>
                <w:rFonts w:ascii="Times New Roman" w:hAnsi="Times New Roman" w:cs="Times New Roman" w:hint="eastAsia"/>
                <w:sz w:val="24"/>
                <w:szCs w:val="24"/>
                <w:lang/>
              </w:rPr>
              <w:t>ETF</w:t>
            </w:r>
            <w:r>
              <w:rPr>
                <w:rFonts w:ascii="Times New Roman" w:hAnsi="Times New Roman" w:cs="Times New Roman" w:hint="eastAsia"/>
                <w:sz w:val="24"/>
                <w:szCs w:val="24"/>
                <w:lang/>
              </w:rPr>
              <w:t>增强</w:t>
            </w:r>
          </w:p>
        </w:tc>
        <w:tc>
          <w:tcPr>
            <w:tcW w:w="2074" w:type="dxa"/>
            <w:vAlign w:val="center"/>
          </w:tcPr>
          <w:p w:rsidR="009C625F" w:rsidRDefault="00FE7D1C">
            <w:pPr>
              <w:widowControl/>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lang/>
              </w:rPr>
              <w:t>创业板增强</w:t>
            </w:r>
            <w:r>
              <w:rPr>
                <w:rFonts w:ascii="Times New Roman" w:hAnsi="Times New Roman" w:cs="Times New Roman" w:hint="eastAsia"/>
                <w:b/>
                <w:bCs/>
                <w:sz w:val="24"/>
                <w:szCs w:val="24"/>
                <w:lang/>
              </w:rPr>
              <w:t>ETF</w:t>
            </w:r>
            <w:r>
              <w:rPr>
                <w:rFonts w:ascii="Times New Roman" w:hAnsi="Times New Roman" w:cs="Times New Roman" w:hint="eastAsia"/>
                <w:b/>
                <w:bCs/>
                <w:sz w:val="24"/>
                <w:szCs w:val="24"/>
                <w:lang/>
              </w:rPr>
              <w:t>富国</w:t>
            </w:r>
          </w:p>
        </w:tc>
      </w:tr>
      <w:tr w:rsidR="009C625F">
        <w:tc>
          <w:tcPr>
            <w:tcW w:w="1253" w:type="dxa"/>
            <w:vAlign w:val="center"/>
          </w:tcPr>
          <w:p w:rsidR="009C625F" w:rsidRDefault="00FE7D1C">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lang/>
              </w:rPr>
              <w:t>159645</w:t>
            </w:r>
          </w:p>
        </w:tc>
        <w:tc>
          <w:tcPr>
            <w:tcW w:w="2895" w:type="dxa"/>
          </w:tcPr>
          <w:p w:rsidR="009C625F" w:rsidRDefault="00FE7D1C">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hint="eastAsia"/>
                <w:sz w:val="24"/>
                <w:szCs w:val="24"/>
                <w:lang/>
              </w:rPr>
              <w:t>富国国证疫苗与生物科技交易型开放式指数证券投资基金</w:t>
            </w:r>
          </w:p>
        </w:tc>
        <w:tc>
          <w:tcPr>
            <w:tcW w:w="2074" w:type="dxa"/>
            <w:vAlign w:val="center"/>
          </w:tcPr>
          <w:p w:rsidR="009C625F" w:rsidRDefault="00FE7D1C">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lang/>
              </w:rPr>
              <w:t>疫苗指数</w:t>
            </w:r>
            <w:r>
              <w:rPr>
                <w:rFonts w:ascii="Times New Roman" w:hAnsi="Times New Roman" w:cs="Times New Roman" w:hint="eastAsia"/>
                <w:sz w:val="24"/>
                <w:szCs w:val="24"/>
                <w:lang/>
              </w:rPr>
              <w:t>ETF</w:t>
            </w:r>
          </w:p>
        </w:tc>
        <w:tc>
          <w:tcPr>
            <w:tcW w:w="2074" w:type="dxa"/>
            <w:vAlign w:val="center"/>
          </w:tcPr>
          <w:p w:rsidR="009C625F" w:rsidRDefault="00FE7D1C">
            <w:pPr>
              <w:widowControl/>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lang/>
              </w:rPr>
              <w:t>疫苗</w:t>
            </w:r>
            <w:r>
              <w:rPr>
                <w:rFonts w:ascii="Times New Roman" w:hAnsi="Times New Roman" w:cs="Times New Roman" w:hint="eastAsia"/>
                <w:b/>
                <w:bCs/>
                <w:sz w:val="24"/>
                <w:szCs w:val="24"/>
                <w:lang/>
              </w:rPr>
              <w:t>ETF</w:t>
            </w:r>
            <w:r>
              <w:rPr>
                <w:rFonts w:ascii="Times New Roman" w:hAnsi="Times New Roman" w:cs="Times New Roman" w:hint="eastAsia"/>
                <w:b/>
                <w:bCs/>
                <w:sz w:val="24"/>
                <w:szCs w:val="24"/>
                <w:lang/>
              </w:rPr>
              <w:t>富国</w:t>
            </w:r>
          </w:p>
        </w:tc>
      </w:tr>
      <w:tr w:rsidR="009C625F">
        <w:tc>
          <w:tcPr>
            <w:tcW w:w="1253" w:type="dxa"/>
            <w:vAlign w:val="center"/>
          </w:tcPr>
          <w:p w:rsidR="009C625F" w:rsidRDefault="00FE7D1C">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lang/>
              </w:rPr>
              <w:t>159538</w:t>
            </w:r>
          </w:p>
        </w:tc>
        <w:tc>
          <w:tcPr>
            <w:tcW w:w="2895" w:type="dxa"/>
          </w:tcPr>
          <w:p w:rsidR="009C625F" w:rsidRDefault="00FE7D1C">
            <w:pPr>
              <w:widowControl/>
              <w:adjustRightInd w:val="0"/>
              <w:snapToGrid w:val="0"/>
              <w:spacing w:line="360" w:lineRule="auto"/>
              <w:jc w:val="left"/>
              <w:rPr>
                <w:rFonts w:ascii="Times New Roman" w:hAnsi="Times New Roman" w:cs="Times New Roman"/>
                <w:sz w:val="24"/>
                <w:szCs w:val="24"/>
              </w:rPr>
            </w:pPr>
            <w:r>
              <w:rPr>
                <w:rFonts w:ascii="Times New Roman" w:hAnsi="Times New Roman" w:cs="Times New Roman" w:hint="eastAsia"/>
                <w:sz w:val="24"/>
                <w:szCs w:val="24"/>
                <w:lang/>
              </w:rPr>
              <w:t>富国国证信息技术创新主题交易型开放式指数证券投资基金</w:t>
            </w:r>
          </w:p>
        </w:tc>
        <w:tc>
          <w:tcPr>
            <w:tcW w:w="2074" w:type="dxa"/>
            <w:vAlign w:val="center"/>
          </w:tcPr>
          <w:p w:rsidR="009C625F" w:rsidRDefault="00FE7D1C">
            <w:pPr>
              <w:widowControl/>
              <w:adjustRightInd w:val="0"/>
              <w:snapToGrid w:val="0"/>
              <w:spacing w:line="360" w:lineRule="auto"/>
              <w:jc w:val="center"/>
              <w:rPr>
                <w:rFonts w:ascii="Times New Roman" w:hAnsi="Times New Roman" w:cs="Times New Roman"/>
                <w:sz w:val="24"/>
                <w:szCs w:val="24"/>
              </w:rPr>
            </w:pPr>
            <w:r>
              <w:rPr>
                <w:rFonts w:ascii="Times New Roman" w:hAnsi="Times New Roman" w:cs="Times New Roman" w:hint="eastAsia"/>
                <w:sz w:val="24"/>
                <w:szCs w:val="24"/>
                <w:lang/>
              </w:rPr>
              <w:t>信创指数</w:t>
            </w:r>
            <w:r>
              <w:rPr>
                <w:rFonts w:ascii="Times New Roman" w:hAnsi="Times New Roman" w:cs="Times New Roman" w:hint="eastAsia"/>
                <w:sz w:val="24"/>
                <w:szCs w:val="24"/>
                <w:lang/>
              </w:rPr>
              <w:t>ETF</w:t>
            </w:r>
          </w:p>
        </w:tc>
        <w:tc>
          <w:tcPr>
            <w:tcW w:w="2074" w:type="dxa"/>
            <w:vAlign w:val="center"/>
          </w:tcPr>
          <w:p w:rsidR="009C625F" w:rsidRDefault="00FE7D1C">
            <w:pPr>
              <w:widowControl/>
              <w:adjustRightInd w:val="0"/>
              <w:snapToGrid w:val="0"/>
              <w:spacing w:line="360" w:lineRule="auto"/>
              <w:jc w:val="center"/>
              <w:rPr>
                <w:rFonts w:ascii="Times New Roman" w:hAnsi="Times New Roman" w:cs="Times New Roman"/>
                <w:b/>
                <w:bCs/>
                <w:sz w:val="24"/>
                <w:szCs w:val="24"/>
              </w:rPr>
            </w:pPr>
            <w:r>
              <w:rPr>
                <w:rFonts w:ascii="Times New Roman" w:hAnsi="Times New Roman" w:cs="Times New Roman" w:hint="eastAsia"/>
                <w:b/>
                <w:bCs/>
                <w:sz w:val="24"/>
                <w:szCs w:val="24"/>
                <w:lang/>
              </w:rPr>
              <w:t>信创</w:t>
            </w:r>
            <w:r>
              <w:rPr>
                <w:rFonts w:ascii="Times New Roman" w:hAnsi="Times New Roman" w:cs="Times New Roman" w:hint="eastAsia"/>
                <w:b/>
                <w:bCs/>
                <w:sz w:val="24"/>
                <w:szCs w:val="24"/>
                <w:lang/>
              </w:rPr>
              <w:t>ETF</w:t>
            </w:r>
            <w:r>
              <w:rPr>
                <w:rFonts w:ascii="Times New Roman" w:hAnsi="Times New Roman" w:cs="Times New Roman" w:hint="eastAsia"/>
                <w:b/>
                <w:bCs/>
                <w:sz w:val="24"/>
                <w:szCs w:val="24"/>
                <w:lang/>
              </w:rPr>
              <w:t>富国</w:t>
            </w:r>
          </w:p>
        </w:tc>
      </w:tr>
    </w:tbl>
    <w:p w:rsidR="009C625F" w:rsidRDefault="009C625F">
      <w:pPr>
        <w:spacing w:line="360" w:lineRule="auto"/>
        <w:rPr>
          <w:rFonts w:ascii="Times New Roman" w:hAnsi="Times New Roman" w:cs="Times New Roman"/>
          <w:sz w:val="24"/>
          <w:szCs w:val="24"/>
        </w:rPr>
      </w:pPr>
    </w:p>
    <w:p w:rsidR="009C625F" w:rsidRDefault="00FE7D1C">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场内简称适用于交易、申购赎回及行情展示，基金代码、基金名称等其他事项保持不变。本次更新符合相关法律法规及基金合同的规定，基金管理人将据此更新上述基金的产品资料概要。</w:t>
      </w:r>
    </w:p>
    <w:p w:rsidR="009C625F" w:rsidRDefault="00FE7D1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上述变更自</w:t>
      </w:r>
      <w:r>
        <w:rPr>
          <w:rFonts w:ascii="Times New Roman" w:hAnsi="Times New Roman" w:cs="Times New Roman" w:hint="eastAsia"/>
          <w:sz w:val="24"/>
          <w:szCs w:val="24"/>
        </w:rPr>
        <w:t>2024</w:t>
      </w:r>
      <w:r>
        <w:rPr>
          <w:rFonts w:ascii="Times New Roman" w:hAnsi="Times New Roman" w:cs="Times New Roman" w:hint="eastAsia"/>
          <w:sz w:val="24"/>
          <w:szCs w:val="24"/>
        </w:rPr>
        <w:t>年</w:t>
      </w:r>
      <w:r>
        <w:rPr>
          <w:rFonts w:ascii="Times New Roman" w:hAnsi="Times New Roman" w:cs="Times New Roman" w:hint="eastAsia"/>
          <w:sz w:val="24"/>
          <w:szCs w:val="24"/>
        </w:rPr>
        <w:t>3</w:t>
      </w:r>
      <w:r>
        <w:rPr>
          <w:rFonts w:ascii="Times New Roman" w:hAnsi="Times New Roman" w:cs="Times New Roman" w:hint="eastAsia"/>
          <w:sz w:val="24"/>
          <w:szCs w:val="24"/>
        </w:rPr>
        <w:t>月</w:t>
      </w:r>
      <w:r>
        <w:rPr>
          <w:rFonts w:ascii="Times New Roman" w:hAnsi="Times New Roman" w:cs="Times New Roman" w:hint="eastAsia"/>
          <w:sz w:val="24"/>
          <w:szCs w:val="24"/>
        </w:rPr>
        <w:t>12</w:t>
      </w:r>
      <w:r>
        <w:rPr>
          <w:rFonts w:ascii="Times New Roman" w:hAnsi="Times New Roman" w:cs="Times New Roman" w:hint="eastAsia"/>
          <w:sz w:val="24"/>
          <w:szCs w:val="24"/>
        </w:rPr>
        <w:t>日</w:t>
      </w:r>
      <w:r>
        <w:rPr>
          <w:rFonts w:ascii="Times New Roman" w:hAnsi="Times New Roman" w:cs="Times New Roman"/>
          <w:sz w:val="24"/>
          <w:szCs w:val="24"/>
        </w:rPr>
        <w:t>起生效。投资者可以登陆富国基金管理有限公司网站</w:t>
      </w:r>
      <w:r>
        <w:rPr>
          <w:rFonts w:ascii="Times New Roman" w:hAnsi="Times New Roman" w:cs="Times New Roman"/>
          <w:sz w:val="24"/>
          <w:szCs w:val="24"/>
        </w:rPr>
        <w:t>www.fullgoal.com.cn</w:t>
      </w:r>
      <w:r>
        <w:rPr>
          <w:rFonts w:ascii="Times New Roman" w:hAnsi="Times New Roman" w:cs="Times New Roman"/>
          <w:sz w:val="24"/>
          <w:szCs w:val="24"/>
        </w:rPr>
        <w:t>或拨打富国基金管理有限公司客户服务热线</w:t>
      </w:r>
      <w:r>
        <w:rPr>
          <w:rFonts w:ascii="Times New Roman" w:hAnsi="Times New Roman" w:cs="Times New Roman"/>
          <w:sz w:val="24"/>
          <w:szCs w:val="24"/>
        </w:rPr>
        <w:t>95105686</w:t>
      </w:r>
      <w:r>
        <w:rPr>
          <w:rFonts w:ascii="Times New Roman" w:hAnsi="Times New Roman" w:cs="Times New Roman"/>
          <w:sz w:val="24"/>
          <w:szCs w:val="24"/>
        </w:rPr>
        <w:t>、</w:t>
      </w:r>
      <w:r>
        <w:rPr>
          <w:rFonts w:ascii="Times New Roman" w:hAnsi="Times New Roman" w:cs="Times New Roman"/>
          <w:sz w:val="24"/>
          <w:szCs w:val="24"/>
        </w:rPr>
        <w:t>4008880688</w:t>
      </w:r>
      <w:r>
        <w:rPr>
          <w:rFonts w:ascii="Times New Roman" w:hAnsi="Times New Roman" w:cs="Times New Roman"/>
          <w:sz w:val="24"/>
          <w:szCs w:val="24"/>
        </w:rPr>
        <w:t>（全国统一，均免长途费）进行相关咨询。</w:t>
      </w:r>
    </w:p>
    <w:p w:rsidR="009C625F" w:rsidRDefault="009C625F">
      <w:pPr>
        <w:spacing w:line="360" w:lineRule="auto"/>
        <w:ind w:firstLineChars="200" w:firstLine="480"/>
        <w:rPr>
          <w:rFonts w:ascii="Times New Roman" w:hAnsi="Times New Roman" w:cs="Times New Roman"/>
          <w:sz w:val="24"/>
          <w:szCs w:val="24"/>
        </w:rPr>
      </w:pPr>
    </w:p>
    <w:p w:rsidR="009C625F" w:rsidRDefault="00FE7D1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风险提示：基金管理人承诺以诚实信用、勤勉尽责的原则管理和运用基金资产，但不保证基金一定盈利，也不保证最低收益。敬请投资者留意投资风险。</w:t>
      </w:r>
    </w:p>
    <w:p w:rsidR="009C625F" w:rsidRDefault="009C625F">
      <w:pPr>
        <w:spacing w:line="360" w:lineRule="auto"/>
        <w:rPr>
          <w:rFonts w:ascii="Times New Roman" w:hAnsi="Times New Roman" w:cs="Times New Roman"/>
          <w:sz w:val="24"/>
          <w:szCs w:val="24"/>
        </w:rPr>
      </w:pPr>
    </w:p>
    <w:p w:rsidR="009C625F" w:rsidRDefault="00FE7D1C">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特此公告。</w:t>
      </w:r>
    </w:p>
    <w:p w:rsidR="009C625F" w:rsidRDefault="00FE7D1C">
      <w:pPr>
        <w:spacing w:line="360" w:lineRule="auto"/>
        <w:jc w:val="right"/>
        <w:rPr>
          <w:rFonts w:ascii="Times New Roman" w:hAnsi="Times New Roman" w:cs="Times New Roman"/>
          <w:sz w:val="24"/>
          <w:szCs w:val="24"/>
        </w:rPr>
      </w:pPr>
      <w:r>
        <w:rPr>
          <w:rFonts w:ascii="Times New Roman" w:hAnsi="Times New Roman" w:cs="Times New Roman"/>
          <w:sz w:val="24"/>
          <w:szCs w:val="24"/>
        </w:rPr>
        <w:t>富国基金管理有限公司</w:t>
      </w:r>
    </w:p>
    <w:p w:rsidR="009C625F" w:rsidRDefault="00FE7D1C">
      <w:pPr>
        <w:spacing w:line="360" w:lineRule="auto"/>
        <w:jc w:val="right"/>
        <w:rPr>
          <w:rFonts w:ascii="Times New Roman" w:hAnsi="Times New Roman" w:cs="Times New Roman"/>
          <w:sz w:val="24"/>
          <w:szCs w:val="24"/>
        </w:rPr>
      </w:pPr>
      <w:r>
        <w:rPr>
          <w:rFonts w:ascii="Times New Roman" w:hAnsi="Times New Roman" w:cs="Times New Roman"/>
          <w:sz w:val="24"/>
          <w:szCs w:val="24"/>
        </w:rPr>
        <w:t>2024</w:t>
      </w:r>
      <w:r>
        <w:rPr>
          <w:rFonts w:ascii="Times New Roman" w:hAnsi="Times New Roman" w:cs="Times New Roman"/>
          <w:sz w:val="24"/>
          <w:szCs w:val="24"/>
        </w:rPr>
        <w:t>年</w:t>
      </w:r>
      <w:r>
        <w:rPr>
          <w:rFonts w:ascii="Times New Roman" w:hAnsi="Times New Roman" w:cs="Times New Roman" w:hint="eastAsia"/>
          <w:sz w:val="24"/>
          <w:szCs w:val="24"/>
        </w:rPr>
        <w:t>3</w:t>
      </w:r>
      <w:r>
        <w:rPr>
          <w:rFonts w:ascii="Times New Roman" w:hAnsi="Times New Roman" w:cs="Times New Roman"/>
          <w:sz w:val="24"/>
          <w:szCs w:val="24"/>
        </w:rPr>
        <w:t>月</w:t>
      </w:r>
      <w:r>
        <w:rPr>
          <w:rFonts w:ascii="Times New Roman" w:hAnsi="Times New Roman" w:cs="Times New Roman" w:hint="eastAsia"/>
          <w:sz w:val="24"/>
          <w:szCs w:val="24"/>
        </w:rPr>
        <w:t>11</w:t>
      </w:r>
      <w:r>
        <w:rPr>
          <w:rFonts w:ascii="Times New Roman" w:hAnsi="Times New Roman" w:cs="Times New Roman"/>
          <w:sz w:val="24"/>
          <w:szCs w:val="24"/>
        </w:rPr>
        <w:t>日</w:t>
      </w:r>
    </w:p>
    <w:sectPr w:rsidR="009C625F" w:rsidSect="009C62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0032575F"/>
    <w:rsid w:val="000555F8"/>
    <w:rsid w:val="00077E05"/>
    <w:rsid w:val="000F604F"/>
    <w:rsid w:val="001B74ED"/>
    <w:rsid w:val="002C361C"/>
    <w:rsid w:val="002D7560"/>
    <w:rsid w:val="002F78FA"/>
    <w:rsid w:val="0032575F"/>
    <w:rsid w:val="00354DA9"/>
    <w:rsid w:val="003C48CF"/>
    <w:rsid w:val="008129AC"/>
    <w:rsid w:val="00872855"/>
    <w:rsid w:val="008C578F"/>
    <w:rsid w:val="00902F03"/>
    <w:rsid w:val="00944A68"/>
    <w:rsid w:val="009B136E"/>
    <w:rsid w:val="009C625F"/>
    <w:rsid w:val="00A37D07"/>
    <w:rsid w:val="00AB4A04"/>
    <w:rsid w:val="00CF1CD7"/>
    <w:rsid w:val="00D32251"/>
    <w:rsid w:val="00DD4A4B"/>
    <w:rsid w:val="00E214DF"/>
    <w:rsid w:val="00E56C6F"/>
    <w:rsid w:val="00EF5ACB"/>
    <w:rsid w:val="00F514F4"/>
    <w:rsid w:val="00FE7D1C"/>
    <w:rsid w:val="0448078A"/>
    <w:rsid w:val="3C917DC8"/>
    <w:rsid w:val="4D204208"/>
    <w:rsid w:val="4EB03395"/>
    <w:rsid w:val="5EF528CC"/>
    <w:rsid w:val="72FC1F5D"/>
    <w:rsid w:val="7DEC249F"/>
    <w:rsid w:val="7EC83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5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C625F"/>
    <w:rPr>
      <w:sz w:val="18"/>
      <w:szCs w:val="18"/>
    </w:rPr>
  </w:style>
  <w:style w:type="paragraph" w:styleId="a4">
    <w:name w:val="footer"/>
    <w:basedOn w:val="a"/>
    <w:link w:val="Char0"/>
    <w:uiPriority w:val="99"/>
    <w:unhideWhenUsed/>
    <w:qFormat/>
    <w:rsid w:val="009C625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C625F"/>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9C6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9C625F"/>
    <w:rPr>
      <w:sz w:val="18"/>
      <w:szCs w:val="18"/>
    </w:rPr>
  </w:style>
  <w:style w:type="character" w:customStyle="1" w:styleId="Char0">
    <w:name w:val="页脚 Char"/>
    <w:basedOn w:val="a0"/>
    <w:link w:val="a4"/>
    <w:uiPriority w:val="99"/>
    <w:qFormat/>
    <w:rsid w:val="009C625F"/>
    <w:rPr>
      <w:sz w:val="18"/>
      <w:szCs w:val="18"/>
    </w:rPr>
  </w:style>
  <w:style w:type="character" w:customStyle="1" w:styleId="Char">
    <w:name w:val="批注框文本 Char"/>
    <w:basedOn w:val="a0"/>
    <w:link w:val="a3"/>
    <w:uiPriority w:val="99"/>
    <w:semiHidden/>
    <w:qFormat/>
    <w:rsid w:val="009C625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545</Characters>
  <Application>Microsoft Office Word</Application>
  <DocSecurity>4</DocSecurity>
  <Lines>4</Lines>
  <Paragraphs>1</Paragraphs>
  <ScaleCrop>false</ScaleCrop>
  <Company>CNSTOCK</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富国基金管理有限公司关于旗下部分深交所上市基金变更场内简称的公告</dc:title>
  <dc:creator>富国基金</dc:creator>
  <cp:lastModifiedBy>ZHONGM</cp:lastModifiedBy>
  <cp:revision>2</cp:revision>
  <dcterms:created xsi:type="dcterms:W3CDTF">2024-03-10T16:01:00Z</dcterms:created>
  <dcterms:modified xsi:type="dcterms:W3CDTF">2024-03-10T16:01:00Z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7D9E76BA7BA345A5951E12E8799ECEC0</vt:lpwstr>
  </property>
</Properties>
</file>