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DA" w:rsidRDefault="00F17AA1">
      <w:pPr>
        <w:widowControl/>
        <w:spacing w:line="360" w:lineRule="auto"/>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海富通裕昇三年定期开放债券型证券投资基金第十次分红公告</w:t>
      </w:r>
    </w:p>
    <w:p w:rsidR="009067DA" w:rsidRDefault="00F17AA1">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2024年3月9日</w:t>
      </w:r>
    </w:p>
    <w:p w:rsidR="009067DA" w:rsidRDefault="009067DA">
      <w:pPr>
        <w:spacing w:line="360" w:lineRule="auto"/>
        <w:jc w:val="center"/>
        <w:rPr>
          <w:rFonts w:asciiTheme="minorEastAsia" w:eastAsiaTheme="minorEastAsia" w:hAnsiTheme="minorEastAsia"/>
          <w:color w:val="000000"/>
          <w:sz w:val="24"/>
          <w:szCs w:val="24"/>
        </w:rPr>
      </w:pPr>
    </w:p>
    <w:p w:rsidR="009067DA" w:rsidRDefault="00F17AA1">
      <w:pPr>
        <w:pStyle w:val="2"/>
        <w:spacing w:line="360" w:lineRule="auto"/>
        <w:rPr>
          <w:rFonts w:asciiTheme="minorEastAsia" w:eastAsiaTheme="minorEastAsia" w:hAnsiTheme="minorEastAsia"/>
          <w:bCs w:val="0"/>
          <w:color w:val="000000"/>
          <w:sz w:val="24"/>
          <w:szCs w:val="24"/>
        </w:rPr>
      </w:pPr>
      <w:bookmarkStart w:id="0" w:name="_Toc275961418"/>
      <w:r>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2410"/>
        <w:gridCol w:w="5144"/>
      </w:tblGrid>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基金名称</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海富通裕昇三年定期开放债券型证券投资基金</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基金简称</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海富通裕昇三年定开债券</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008032</w:t>
            </w:r>
          </w:p>
        </w:tc>
      </w:tr>
      <w:tr w:rsidR="009067DA" w:rsidTr="00541924">
        <w:trPr>
          <w:jc w:val="center"/>
        </w:trPr>
        <w:tc>
          <w:tcPr>
            <w:tcW w:w="4495" w:type="dxa"/>
            <w:gridSpan w:val="2"/>
            <w:vAlign w:val="center"/>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基金合同生效日</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2020年4月9日</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基金管理人名称</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海富通基金管理有限公司</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基金托管人名称</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招商银行股份有限公司</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公告依据</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《公开募集证券投资基金信息披露管理办法》及《海富通裕昇三年定期开放债券型证券投资基金基金合同》、《海富通裕昇三年定期开放债券型证券投资基金更新招募说明书》</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收益分配基准日</w:t>
            </w:r>
          </w:p>
        </w:tc>
        <w:tc>
          <w:tcPr>
            <w:tcW w:w="5144"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2024年3月5日</w:t>
            </w:r>
          </w:p>
        </w:tc>
      </w:tr>
      <w:tr w:rsidR="009067DA" w:rsidTr="00541924">
        <w:trPr>
          <w:jc w:val="center"/>
        </w:trPr>
        <w:tc>
          <w:tcPr>
            <w:tcW w:w="2085" w:type="dxa"/>
            <w:vMerge w:val="restart"/>
            <w:vAlign w:val="center"/>
          </w:tcPr>
          <w:p w:rsidR="009067DA" w:rsidRDefault="00F17AA1">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截止收益分配基准日的相关指标</w:t>
            </w:r>
          </w:p>
        </w:tc>
        <w:tc>
          <w:tcPr>
            <w:tcW w:w="2410"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基准日基金份额净值</w:t>
            </w:r>
            <w:r>
              <w:rPr>
                <w:rFonts w:asciiTheme="minorEastAsia" w:eastAsiaTheme="minorEastAsia" w:hAnsiTheme="minorEastAsia" w:hint="eastAsia"/>
                <w:sz w:val="24"/>
                <w:szCs w:val="24"/>
              </w:rPr>
              <w:t>（单位：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hint="eastAsia"/>
                <w:sz w:val="24"/>
                <w:szCs w:val="24"/>
              </w:rPr>
              <w:t>）</w:t>
            </w:r>
          </w:p>
        </w:tc>
        <w:tc>
          <w:tcPr>
            <w:tcW w:w="5144"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1.0130</w:t>
            </w:r>
          </w:p>
        </w:tc>
      </w:tr>
      <w:tr w:rsidR="009067DA" w:rsidTr="00541924">
        <w:trPr>
          <w:jc w:val="center"/>
        </w:trPr>
        <w:tc>
          <w:tcPr>
            <w:tcW w:w="2085" w:type="dxa"/>
            <w:vMerge/>
          </w:tcPr>
          <w:p w:rsidR="009067DA" w:rsidRDefault="009067DA">
            <w:pPr>
              <w:spacing w:line="360" w:lineRule="auto"/>
              <w:rPr>
                <w:rFonts w:asciiTheme="minorEastAsia" w:eastAsiaTheme="minorEastAsia" w:hAnsiTheme="minorEastAsia"/>
                <w:color w:val="000000"/>
                <w:sz w:val="24"/>
                <w:szCs w:val="24"/>
              </w:rPr>
            </w:pPr>
          </w:p>
        </w:tc>
        <w:tc>
          <w:tcPr>
            <w:tcW w:w="2410"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基准日基金可供分配利润</w:t>
            </w:r>
            <w:r>
              <w:rPr>
                <w:rFonts w:asciiTheme="minorEastAsia" w:eastAsiaTheme="minorEastAsia" w:hAnsiTheme="minorEastAsia" w:hint="eastAsia"/>
                <w:sz w:val="24"/>
                <w:szCs w:val="24"/>
              </w:rPr>
              <w:t>（单位：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hint="eastAsia"/>
                <w:sz w:val="24"/>
                <w:szCs w:val="24"/>
              </w:rPr>
              <w:t>）</w:t>
            </w:r>
          </w:p>
        </w:tc>
        <w:tc>
          <w:tcPr>
            <w:tcW w:w="5144"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103,311,798.14</w:t>
            </w:r>
          </w:p>
        </w:tc>
      </w:tr>
      <w:tr w:rsidR="009067DA" w:rsidTr="00541924">
        <w:trPr>
          <w:jc w:val="center"/>
        </w:trPr>
        <w:tc>
          <w:tcPr>
            <w:tcW w:w="4495" w:type="dxa"/>
            <w:gridSpan w:val="2"/>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本次分红方案（单位：元/10份基金份额）</w:t>
            </w:r>
          </w:p>
        </w:tc>
        <w:tc>
          <w:tcPr>
            <w:tcW w:w="5144"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0.060</w:t>
            </w:r>
          </w:p>
        </w:tc>
      </w:tr>
      <w:tr w:rsidR="009067DA" w:rsidTr="00541924">
        <w:trPr>
          <w:jc w:val="center"/>
        </w:trPr>
        <w:tc>
          <w:tcPr>
            <w:tcW w:w="4495" w:type="dxa"/>
            <w:gridSpan w:val="2"/>
            <w:vAlign w:val="center"/>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有关年度分红次数的说明</w:t>
            </w:r>
          </w:p>
        </w:tc>
        <w:tc>
          <w:tcPr>
            <w:tcW w:w="5144" w:type="dxa"/>
            <w:vAlign w:val="center"/>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本次分红为2024年度第1次分红</w:t>
            </w:r>
          </w:p>
        </w:tc>
      </w:tr>
    </w:tbl>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注：基金收益分配后基金份额净值不能低于面值，即基金收益分配基准日的基金份额净值减去每单位基金份额收益分配金额后不能低于面值。</w:t>
      </w:r>
    </w:p>
    <w:p w:rsidR="009067DA" w:rsidRDefault="00F17AA1">
      <w:pPr>
        <w:pStyle w:val="2"/>
        <w:spacing w:line="360" w:lineRule="auto"/>
        <w:rPr>
          <w:rFonts w:asciiTheme="minorEastAsia" w:eastAsiaTheme="minorEastAsia" w:hAnsiTheme="minorEastAsia"/>
          <w:bCs w:val="0"/>
          <w:color w:val="000000"/>
          <w:sz w:val="24"/>
          <w:szCs w:val="24"/>
        </w:rPr>
      </w:pPr>
      <w:bookmarkStart w:id="1" w:name="_Toc275961419"/>
      <w:r>
        <w:rPr>
          <w:rFonts w:asciiTheme="minorEastAsia" w:eastAsiaTheme="minorEastAsia" w:hAnsiTheme="minorEastAsia"/>
          <w:bCs w:val="0"/>
          <w:color w:val="000000"/>
          <w:sz w:val="24"/>
          <w:szCs w:val="24"/>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3"/>
        <w:gridCol w:w="6426"/>
      </w:tblGrid>
      <w:tr w:rsidR="009067DA">
        <w:trPr>
          <w:jc w:val="center"/>
        </w:trPr>
        <w:tc>
          <w:tcPr>
            <w:tcW w:w="3213"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权益登记日</w:t>
            </w:r>
          </w:p>
        </w:tc>
        <w:tc>
          <w:tcPr>
            <w:tcW w:w="6426"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2024年3月12日</w:t>
            </w:r>
          </w:p>
        </w:tc>
      </w:tr>
      <w:tr w:rsidR="009067DA">
        <w:trPr>
          <w:jc w:val="center"/>
        </w:trPr>
        <w:tc>
          <w:tcPr>
            <w:tcW w:w="3213"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除息日</w:t>
            </w:r>
          </w:p>
        </w:tc>
        <w:tc>
          <w:tcPr>
            <w:tcW w:w="3213"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2024年3月12日</w:t>
            </w:r>
          </w:p>
        </w:tc>
      </w:tr>
      <w:tr w:rsidR="009067DA">
        <w:trPr>
          <w:jc w:val="center"/>
        </w:trPr>
        <w:tc>
          <w:tcPr>
            <w:tcW w:w="3213"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现金红利发放日</w:t>
            </w:r>
          </w:p>
        </w:tc>
        <w:tc>
          <w:tcPr>
            <w:tcW w:w="6426" w:type="dxa"/>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2024年3月14日</w:t>
            </w:r>
          </w:p>
        </w:tc>
      </w:tr>
      <w:tr w:rsidR="009067DA">
        <w:trPr>
          <w:jc w:val="center"/>
        </w:trPr>
        <w:tc>
          <w:tcPr>
            <w:tcW w:w="3213"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分红对象</w:t>
            </w:r>
          </w:p>
        </w:tc>
        <w:tc>
          <w:tcPr>
            <w:tcW w:w="6426" w:type="dxa"/>
            <w:shd w:val="clear" w:color="auto" w:fill="auto"/>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权益登记日在注册登记机构登记在册的本基金全体份额持有人。</w:t>
            </w:r>
          </w:p>
        </w:tc>
      </w:tr>
      <w:tr w:rsidR="009067DA">
        <w:trPr>
          <w:jc w:val="center"/>
        </w:trPr>
        <w:tc>
          <w:tcPr>
            <w:tcW w:w="3213" w:type="dxa"/>
            <w:shd w:val="clear" w:color="auto" w:fill="auto"/>
            <w:vAlign w:val="center"/>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红利再投资相关事项的说明</w:t>
            </w:r>
          </w:p>
        </w:tc>
        <w:tc>
          <w:tcPr>
            <w:tcW w:w="6426" w:type="dxa"/>
            <w:shd w:val="clear" w:color="auto" w:fill="auto"/>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选择红利再投资方式的投资者，注册登记机构将以2024年3月12日的基金份额净值为基准计算其再投资所得的基金份额，并将于2024年3月13日直接计入其基金账户，投资者自2024年3月14日起可以查询、赎回再投资所得的基金份额。</w:t>
            </w:r>
          </w:p>
        </w:tc>
      </w:tr>
      <w:tr w:rsidR="009067DA">
        <w:trPr>
          <w:jc w:val="center"/>
        </w:trPr>
        <w:tc>
          <w:tcPr>
            <w:tcW w:w="3213"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税收相关事项的说明</w:t>
            </w:r>
          </w:p>
        </w:tc>
        <w:tc>
          <w:tcPr>
            <w:tcW w:w="6426" w:type="dxa"/>
            <w:shd w:val="clear" w:color="auto" w:fill="auto"/>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根据财政部、国家税务总局的财税字[2002]128号《关于开放式证券投资基金有关税收问题的通知》，基金向投资者分配的基金收益，暂不征收所得税。</w:t>
            </w:r>
          </w:p>
        </w:tc>
      </w:tr>
      <w:tr w:rsidR="009067DA">
        <w:trPr>
          <w:jc w:val="center"/>
        </w:trPr>
        <w:tc>
          <w:tcPr>
            <w:tcW w:w="3213" w:type="dxa"/>
          </w:tcPr>
          <w:p w:rsidR="009067DA" w:rsidRDefault="00F17AA1">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费用相关事项的说明</w:t>
            </w:r>
          </w:p>
        </w:tc>
        <w:tc>
          <w:tcPr>
            <w:tcW w:w="6426" w:type="dxa"/>
            <w:shd w:val="clear" w:color="auto" w:fill="auto"/>
          </w:tcPr>
          <w:p w:rsidR="009067DA" w:rsidRDefault="00F17AA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本基金本次分红免收分红手续费和红利再投资费用。</w:t>
            </w:r>
          </w:p>
        </w:tc>
      </w:tr>
    </w:tbl>
    <w:p w:rsidR="009067DA" w:rsidRDefault="00F17AA1">
      <w:pPr>
        <w:pStyle w:val="2"/>
        <w:spacing w:line="360" w:lineRule="auto"/>
        <w:rPr>
          <w:rFonts w:asciiTheme="minorEastAsia" w:eastAsiaTheme="minorEastAsia" w:hAnsiTheme="minorEastAsia"/>
          <w:bCs w:val="0"/>
          <w:color w:val="000000"/>
          <w:sz w:val="24"/>
          <w:szCs w:val="24"/>
        </w:rPr>
      </w:pPr>
      <w:bookmarkStart w:id="2" w:name="_Toc275961420"/>
      <w:r>
        <w:rPr>
          <w:rFonts w:asciiTheme="minorEastAsia" w:eastAsiaTheme="minorEastAsia" w:hAnsiTheme="minorEastAsia"/>
          <w:bCs w:val="0"/>
          <w:color w:val="000000"/>
          <w:sz w:val="24"/>
          <w:szCs w:val="24"/>
        </w:rPr>
        <w:t>3 其他需要提示的事项</w:t>
      </w:r>
      <w:bookmarkEnd w:id="2"/>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由于本基金份额持有人在销售机构查询到的分红方式可能与实际的分红方式存在差异，为确保基金份额持有人以所希望的分红方式参与分红，本公司特别提示广大基金份额持有人：</w:t>
      </w:r>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本基金各类份额的默认分红方式为现金分红，基金份额持有人可在任意工作日到销售机构申请更改分红方式，最终分红方式以权益登记日之前最后一次选择的分红方式为准（权益登记日申请更改分红方式的，对本次分红无效）。</w:t>
      </w:r>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同一基金账户的不同交易账号在各销售机构申请设置的基金分红方式相互独立、互不影响，若基金份额持有人需要变更本基金在多个交易账号下的分红方式，应分别针对这些交易账号提交设置分红方式的交易申请。</w:t>
      </w:r>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3、除息日申请申购的本基金份额不享有本次分红权益，除息日申请赎回的本基金份额享有本次分红权益。</w:t>
      </w:r>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4、投资者可通过拨打本公司客服热线40088-40099或登陆本公司网站www.hftfund.com查询当前的分红方式及了解本基金其他有关信息。</w:t>
      </w:r>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5、本基金管理人承诺以诚实信用、勤勉尽责的原则管理和运用基金财产，但不保证基金一定盈利，也不保证最低收益。因基金分红导致基金份额净值变化，</w:t>
      </w:r>
      <w:r>
        <w:rPr>
          <w:rFonts w:asciiTheme="minorEastAsia" w:eastAsiaTheme="minorEastAsia" w:hAnsiTheme="minorEastAsia"/>
          <w:sz w:val="24"/>
          <w:szCs w:val="24"/>
        </w:rPr>
        <w:lastRenderedPageBreak/>
        <w:t>不会改变基金的风险收益特征，不会降低基金投资风险或提高基金投资收益。基金的过往业绩不代表未来表现，敬请投资者注意投资风险。</w:t>
      </w:r>
    </w:p>
    <w:p w:rsidR="009067DA" w:rsidRDefault="009067DA">
      <w:pPr>
        <w:spacing w:line="360" w:lineRule="auto"/>
        <w:ind w:firstLineChars="200" w:firstLine="480"/>
        <w:rPr>
          <w:rFonts w:asciiTheme="minorEastAsia" w:eastAsiaTheme="minorEastAsia" w:hAnsiTheme="minorEastAsia"/>
          <w:sz w:val="24"/>
          <w:szCs w:val="24"/>
        </w:rPr>
      </w:pPr>
    </w:p>
    <w:p w:rsidR="009067DA" w:rsidRDefault="00F17AA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9067DA" w:rsidRDefault="009067DA">
      <w:pPr>
        <w:spacing w:line="360" w:lineRule="auto"/>
        <w:ind w:firstLineChars="200" w:firstLine="480"/>
        <w:rPr>
          <w:rFonts w:asciiTheme="minorEastAsia" w:eastAsiaTheme="minorEastAsia" w:hAnsiTheme="minorEastAsia"/>
          <w:sz w:val="24"/>
          <w:szCs w:val="24"/>
        </w:rPr>
      </w:pPr>
    </w:p>
    <w:p w:rsidR="009067DA" w:rsidRDefault="009067DA">
      <w:pPr>
        <w:spacing w:line="360" w:lineRule="auto"/>
        <w:ind w:firstLineChars="200" w:firstLine="480"/>
        <w:rPr>
          <w:rFonts w:asciiTheme="minorEastAsia" w:eastAsiaTheme="minorEastAsia" w:hAnsiTheme="minorEastAsia"/>
          <w:sz w:val="24"/>
          <w:szCs w:val="24"/>
        </w:rPr>
      </w:pPr>
    </w:p>
    <w:p w:rsidR="009067DA" w:rsidRDefault="009067DA">
      <w:pPr>
        <w:spacing w:line="360" w:lineRule="auto"/>
        <w:ind w:firstLineChars="200" w:firstLine="480"/>
        <w:rPr>
          <w:rFonts w:asciiTheme="minorEastAsia" w:eastAsiaTheme="minorEastAsia" w:hAnsiTheme="minorEastAsia"/>
          <w:sz w:val="24"/>
          <w:szCs w:val="24"/>
        </w:rPr>
      </w:pPr>
    </w:p>
    <w:p w:rsidR="009067DA" w:rsidRDefault="00F17AA1">
      <w:pPr>
        <w:tabs>
          <w:tab w:val="left" w:pos="426"/>
        </w:tabs>
        <w:spacing w:before="29" w:line="288" w:lineRule="auto"/>
        <w:ind w:firstLineChars="200" w:firstLine="480"/>
        <w:jc w:val="right"/>
        <w:rPr>
          <w:kern w:val="0"/>
          <w:sz w:val="24"/>
        </w:rPr>
      </w:pPr>
      <w:r>
        <w:rPr>
          <w:kern w:val="0"/>
          <w:sz w:val="24"/>
        </w:rPr>
        <w:t>海富通基金管理有限公司</w:t>
      </w:r>
    </w:p>
    <w:p w:rsidR="009067DA" w:rsidRDefault="00F17AA1">
      <w:pPr>
        <w:tabs>
          <w:tab w:val="left" w:pos="426"/>
        </w:tabs>
        <w:spacing w:before="29" w:line="288" w:lineRule="auto"/>
        <w:ind w:firstLineChars="200" w:firstLine="480"/>
        <w:jc w:val="right"/>
        <w:rPr>
          <w:kern w:val="0"/>
          <w:sz w:val="24"/>
        </w:rPr>
      </w:pPr>
      <w:r>
        <w:rPr>
          <w:kern w:val="0"/>
          <w:sz w:val="24"/>
        </w:rPr>
        <w:t>2024</w:t>
      </w:r>
      <w:r>
        <w:rPr>
          <w:kern w:val="0"/>
          <w:sz w:val="24"/>
        </w:rPr>
        <w:t>年</w:t>
      </w:r>
      <w:r>
        <w:rPr>
          <w:kern w:val="0"/>
          <w:sz w:val="24"/>
        </w:rPr>
        <w:t>3</w:t>
      </w:r>
      <w:r>
        <w:rPr>
          <w:kern w:val="0"/>
          <w:sz w:val="24"/>
        </w:rPr>
        <w:t>月</w:t>
      </w:r>
      <w:r>
        <w:rPr>
          <w:kern w:val="0"/>
          <w:sz w:val="24"/>
        </w:rPr>
        <w:t>9</w:t>
      </w:r>
      <w:r>
        <w:rPr>
          <w:kern w:val="0"/>
          <w:sz w:val="24"/>
        </w:rPr>
        <w:t>日</w:t>
      </w:r>
    </w:p>
    <w:p w:rsidR="009067DA" w:rsidRDefault="009067DA">
      <w:pPr>
        <w:spacing w:line="360" w:lineRule="auto"/>
        <w:ind w:firstLineChars="200" w:firstLine="480"/>
        <w:rPr>
          <w:rFonts w:asciiTheme="minorEastAsia" w:eastAsiaTheme="minorEastAsia" w:hAnsiTheme="minorEastAsia"/>
          <w:sz w:val="24"/>
          <w:szCs w:val="24"/>
        </w:rPr>
      </w:pPr>
    </w:p>
    <w:sectPr w:rsidR="009067DA" w:rsidSect="00F82D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436"/>
    <w:rsid w:val="00041353"/>
    <w:rsid w:val="00057AC1"/>
    <w:rsid w:val="00083B7C"/>
    <w:rsid w:val="00085F5C"/>
    <w:rsid w:val="0009778C"/>
    <w:rsid w:val="000A19B2"/>
    <w:rsid w:val="000C39F6"/>
    <w:rsid w:val="00111BD0"/>
    <w:rsid w:val="00135CA1"/>
    <w:rsid w:val="001B7ABC"/>
    <w:rsid w:val="001E1256"/>
    <w:rsid w:val="00226206"/>
    <w:rsid w:val="00242E4D"/>
    <w:rsid w:val="002641B7"/>
    <w:rsid w:val="002744A0"/>
    <w:rsid w:val="002825C8"/>
    <w:rsid w:val="002827A6"/>
    <w:rsid w:val="00284B1B"/>
    <w:rsid w:val="002A63B7"/>
    <w:rsid w:val="002C08C5"/>
    <w:rsid w:val="003160F8"/>
    <w:rsid w:val="00362297"/>
    <w:rsid w:val="00386931"/>
    <w:rsid w:val="0039192C"/>
    <w:rsid w:val="003E51F2"/>
    <w:rsid w:val="00410642"/>
    <w:rsid w:val="00411A38"/>
    <w:rsid w:val="00462525"/>
    <w:rsid w:val="00486934"/>
    <w:rsid w:val="004966BA"/>
    <w:rsid w:val="00506E3A"/>
    <w:rsid w:val="00541924"/>
    <w:rsid w:val="005439EC"/>
    <w:rsid w:val="00553957"/>
    <w:rsid w:val="005715B6"/>
    <w:rsid w:val="005B087C"/>
    <w:rsid w:val="005C57A1"/>
    <w:rsid w:val="005F2ED6"/>
    <w:rsid w:val="00602C3F"/>
    <w:rsid w:val="006A2E06"/>
    <w:rsid w:val="006B3A20"/>
    <w:rsid w:val="006E41A5"/>
    <w:rsid w:val="00721B55"/>
    <w:rsid w:val="00751BA5"/>
    <w:rsid w:val="007C142C"/>
    <w:rsid w:val="007D01E7"/>
    <w:rsid w:val="007F6075"/>
    <w:rsid w:val="00834BAE"/>
    <w:rsid w:val="00893436"/>
    <w:rsid w:val="008A4843"/>
    <w:rsid w:val="008D1F66"/>
    <w:rsid w:val="00901C58"/>
    <w:rsid w:val="009067DA"/>
    <w:rsid w:val="009117E2"/>
    <w:rsid w:val="009732A4"/>
    <w:rsid w:val="00A81C93"/>
    <w:rsid w:val="00AC3CC5"/>
    <w:rsid w:val="00AC5B97"/>
    <w:rsid w:val="00B44BBE"/>
    <w:rsid w:val="00B71DA2"/>
    <w:rsid w:val="00BA7F58"/>
    <w:rsid w:val="00BD7533"/>
    <w:rsid w:val="00BF5698"/>
    <w:rsid w:val="00C31B5B"/>
    <w:rsid w:val="00C33DDD"/>
    <w:rsid w:val="00C71AA5"/>
    <w:rsid w:val="00CB3D18"/>
    <w:rsid w:val="00CC001C"/>
    <w:rsid w:val="00DB7CD4"/>
    <w:rsid w:val="00E16B6D"/>
    <w:rsid w:val="00E24390"/>
    <w:rsid w:val="00E379B4"/>
    <w:rsid w:val="00EA12C9"/>
    <w:rsid w:val="00ED61D9"/>
    <w:rsid w:val="00F0033B"/>
    <w:rsid w:val="00F17AA1"/>
    <w:rsid w:val="00F42CA6"/>
    <w:rsid w:val="00F45E48"/>
    <w:rsid w:val="00F645EE"/>
    <w:rsid w:val="00F82D9B"/>
    <w:rsid w:val="00FE00AA"/>
    <w:rsid w:val="42303DCE"/>
    <w:rsid w:val="4B662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9B"/>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F82D9B"/>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F82D9B"/>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F82D9B"/>
    <w:rPr>
      <w:rFonts w:ascii="宋体" w:eastAsia="宋体"/>
      <w:sz w:val="18"/>
      <w:szCs w:val="18"/>
    </w:rPr>
  </w:style>
  <w:style w:type="paragraph" w:styleId="a4">
    <w:name w:val="Balloon Text"/>
    <w:basedOn w:val="a"/>
    <w:link w:val="Char0"/>
    <w:uiPriority w:val="99"/>
    <w:unhideWhenUsed/>
    <w:qFormat/>
    <w:rsid w:val="00F82D9B"/>
    <w:rPr>
      <w:sz w:val="18"/>
      <w:szCs w:val="18"/>
    </w:rPr>
  </w:style>
  <w:style w:type="paragraph" w:styleId="a5">
    <w:name w:val="footer"/>
    <w:basedOn w:val="a"/>
    <w:link w:val="Char1"/>
    <w:uiPriority w:val="99"/>
    <w:unhideWhenUsed/>
    <w:qFormat/>
    <w:rsid w:val="00F82D9B"/>
    <w:pPr>
      <w:tabs>
        <w:tab w:val="center" w:pos="4153"/>
        <w:tab w:val="right" w:pos="8306"/>
      </w:tabs>
      <w:snapToGrid w:val="0"/>
      <w:jc w:val="left"/>
    </w:pPr>
    <w:rPr>
      <w:sz w:val="18"/>
      <w:szCs w:val="18"/>
    </w:rPr>
  </w:style>
  <w:style w:type="paragraph" w:styleId="a6">
    <w:name w:val="header"/>
    <w:basedOn w:val="a"/>
    <w:link w:val="Char2"/>
    <w:uiPriority w:val="99"/>
    <w:unhideWhenUsed/>
    <w:rsid w:val="00F82D9B"/>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F82D9B"/>
    <w:pPr>
      <w:snapToGrid w:val="0"/>
      <w:jc w:val="left"/>
    </w:pPr>
    <w:rPr>
      <w:rFonts w:eastAsia="宋体"/>
      <w:sz w:val="18"/>
    </w:rPr>
  </w:style>
  <w:style w:type="character" w:styleId="a8">
    <w:name w:val="footnote reference"/>
    <w:basedOn w:val="a0"/>
    <w:qFormat/>
    <w:rsid w:val="00F82D9B"/>
    <w:rPr>
      <w:vertAlign w:val="superscript"/>
    </w:rPr>
  </w:style>
  <w:style w:type="character" w:customStyle="1" w:styleId="1Char">
    <w:name w:val="标题 1 Char"/>
    <w:basedOn w:val="a0"/>
    <w:link w:val="1"/>
    <w:rsid w:val="00F82D9B"/>
    <w:rPr>
      <w:rFonts w:ascii="Times New Roman" w:eastAsia="宋体" w:hAnsi="Times New Roman" w:cs="Times New Roman"/>
      <w:b/>
      <w:bCs/>
      <w:kern w:val="44"/>
      <w:sz w:val="44"/>
      <w:szCs w:val="44"/>
    </w:rPr>
  </w:style>
  <w:style w:type="character" w:customStyle="1" w:styleId="2Char">
    <w:name w:val="标题 2 Char"/>
    <w:basedOn w:val="a0"/>
    <w:link w:val="2"/>
    <w:rsid w:val="00F82D9B"/>
    <w:rPr>
      <w:rFonts w:ascii="Arial" w:eastAsia="黑体" w:hAnsi="Arial" w:cs="Times New Roman"/>
      <w:b/>
      <w:bCs/>
      <w:sz w:val="32"/>
      <w:szCs w:val="32"/>
    </w:rPr>
  </w:style>
  <w:style w:type="character" w:customStyle="1" w:styleId="Char3">
    <w:name w:val="脚注文本 Char"/>
    <w:basedOn w:val="a0"/>
    <w:link w:val="a7"/>
    <w:qFormat/>
    <w:rsid w:val="00F82D9B"/>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F82D9B"/>
    <w:rPr>
      <w:rFonts w:ascii="宋体" w:eastAsia="宋体" w:hAnsi="Times New Roman" w:cs="Times New Roman"/>
      <w:sz w:val="18"/>
      <w:szCs w:val="18"/>
    </w:rPr>
  </w:style>
  <w:style w:type="character" w:customStyle="1" w:styleId="Char2">
    <w:name w:val="页眉 Char"/>
    <w:basedOn w:val="a0"/>
    <w:link w:val="a6"/>
    <w:uiPriority w:val="99"/>
    <w:qFormat/>
    <w:rsid w:val="00F82D9B"/>
    <w:rPr>
      <w:rFonts w:ascii="Times New Roman" w:eastAsia="方正仿宋简体" w:hAnsi="Times New Roman" w:cs="Times New Roman"/>
      <w:sz w:val="18"/>
      <w:szCs w:val="18"/>
    </w:rPr>
  </w:style>
  <w:style w:type="character" w:customStyle="1" w:styleId="Char1">
    <w:name w:val="页脚 Char"/>
    <w:basedOn w:val="a0"/>
    <w:link w:val="a5"/>
    <w:uiPriority w:val="99"/>
    <w:rsid w:val="00F82D9B"/>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F82D9B"/>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1189</Characters>
  <Application>Microsoft Office Word</Application>
  <DocSecurity>4</DocSecurity>
  <Lines>9</Lines>
  <Paragraphs>2</Paragraphs>
  <ScaleCrop>false</ScaleCrop>
  <Company>微软中国</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2024-03-08T16:01:00Z</dcterms:created>
  <dcterms:modified xsi:type="dcterms:W3CDTF">2024-03-08T16:01:00Z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A168CFE447174D989BCBFC1399C35250</vt:lpwstr>
  </property>
</Properties>
</file>