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1" w:rsidRDefault="00DF4937" w:rsidP="00662C41">
      <w:pPr>
        <w:jc w:val="center"/>
        <w:rPr>
          <w:rFonts w:asciiTheme="minorEastAsia" w:hAnsiTheme="minorEastAsia"/>
          <w:b/>
          <w:sz w:val="28"/>
          <w:szCs w:val="28"/>
        </w:rPr>
      </w:pPr>
      <w:r w:rsidRPr="00AF43A4">
        <w:rPr>
          <w:rFonts w:asciiTheme="minorEastAsia" w:hAnsiTheme="minorEastAsia" w:hint="eastAsia"/>
          <w:b/>
          <w:sz w:val="28"/>
          <w:szCs w:val="28"/>
        </w:rPr>
        <w:t>关于</w:t>
      </w:r>
      <w:r w:rsidR="00FA32E2">
        <w:rPr>
          <w:rFonts w:asciiTheme="minorEastAsia" w:hAnsiTheme="minorEastAsia" w:hint="eastAsia"/>
          <w:b/>
          <w:sz w:val="28"/>
          <w:szCs w:val="28"/>
        </w:rPr>
        <w:t>国金鑫新灵活配置混合型证券投资基金（LOF）</w:t>
      </w:r>
    </w:p>
    <w:p w:rsidR="00FE4123" w:rsidRPr="00AF43A4" w:rsidRDefault="00064AE7" w:rsidP="00662C41">
      <w:pPr>
        <w:jc w:val="center"/>
        <w:rPr>
          <w:rFonts w:asciiTheme="minorEastAsia" w:hAnsiTheme="minorEastAsia"/>
          <w:b/>
          <w:sz w:val="28"/>
          <w:szCs w:val="28"/>
        </w:rPr>
      </w:pPr>
      <w:r>
        <w:rPr>
          <w:rFonts w:asciiTheme="minorEastAsia" w:hAnsiTheme="minorEastAsia" w:hint="eastAsia"/>
          <w:b/>
          <w:sz w:val="28"/>
          <w:szCs w:val="28"/>
        </w:rPr>
        <w:t>基</w:t>
      </w:r>
      <w:r>
        <w:rPr>
          <w:rFonts w:asciiTheme="minorEastAsia" w:hAnsiTheme="minorEastAsia"/>
          <w:b/>
          <w:sz w:val="28"/>
          <w:szCs w:val="28"/>
        </w:rPr>
        <w:t>金份额持</w:t>
      </w:r>
      <w:r w:rsidR="00F5353A" w:rsidRPr="00F5353A">
        <w:rPr>
          <w:rFonts w:asciiTheme="minorEastAsia" w:hAnsiTheme="minorEastAsia"/>
          <w:b/>
          <w:sz w:val="28"/>
          <w:szCs w:val="28"/>
        </w:rPr>
        <w:t>有人大会计票日停牌有关安排的提示性公告</w:t>
      </w:r>
    </w:p>
    <w:p w:rsidR="00DF4937" w:rsidRDefault="00DF4937"/>
    <w:p w:rsidR="008C2239" w:rsidRDefault="008C2239" w:rsidP="008C2239">
      <w:pPr>
        <w:spacing w:line="360" w:lineRule="auto"/>
        <w:ind w:firstLineChars="200" w:firstLine="480"/>
        <w:rPr>
          <w:rFonts w:ascii="宋体" w:eastAsia="宋体" w:hAnsi="宋体"/>
          <w:sz w:val="24"/>
          <w:szCs w:val="24"/>
        </w:rPr>
      </w:pP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Pr>
          <w:rFonts w:ascii="宋体" w:eastAsia="宋体" w:hAnsi="宋体" w:hint="eastAsia"/>
          <w:sz w:val="24"/>
          <w:szCs w:val="24"/>
        </w:rPr>
        <w:t>（</w:t>
      </w:r>
      <w:r w:rsidRPr="00662C41">
        <w:rPr>
          <w:rFonts w:ascii="宋体" w:eastAsia="宋体" w:hAnsi="宋体" w:hint="eastAsia"/>
          <w:sz w:val="24"/>
          <w:szCs w:val="24"/>
        </w:rPr>
        <w:t>基金代码：</w:t>
      </w:r>
      <w:r w:rsidRPr="00540511">
        <w:rPr>
          <w:rFonts w:ascii="宋体" w:eastAsia="宋体" w:hAnsi="宋体"/>
          <w:sz w:val="24"/>
          <w:szCs w:val="24"/>
        </w:rPr>
        <w:t>501000</w:t>
      </w:r>
      <w:r w:rsidRPr="00662C41">
        <w:rPr>
          <w:rFonts w:ascii="宋体" w:eastAsia="宋体" w:hAnsi="宋体" w:hint="eastAsia"/>
          <w:sz w:val="24"/>
          <w:szCs w:val="24"/>
        </w:rPr>
        <w:t>，</w:t>
      </w:r>
      <w:r>
        <w:rPr>
          <w:rFonts w:ascii="宋体" w:eastAsia="宋体" w:hAnsi="宋体" w:hint="eastAsia"/>
          <w:sz w:val="24"/>
          <w:szCs w:val="24"/>
        </w:rPr>
        <w:t>基金</w:t>
      </w:r>
      <w:r w:rsidRPr="00662C41">
        <w:rPr>
          <w:rFonts w:ascii="宋体" w:eastAsia="宋体" w:hAnsi="宋体" w:hint="eastAsia"/>
          <w:sz w:val="24"/>
          <w:szCs w:val="24"/>
        </w:rPr>
        <w:t>简称</w:t>
      </w:r>
      <w:r w:rsidRPr="00044CA9">
        <w:rPr>
          <w:rFonts w:ascii="宋体" w:eastAsia="宋体" w:hAnsi="宋体" w:hint="eastAsia"/>
          <w:sz w:val="24"/>
          <w:szCs w:val="24"/>
        </w:rPr>
        <w:t>“</w:t>
      </w:r>
      <w:r w:rsidRPr="00073C9D">
        <w:rPr>
          <w:rFonts w:ascii="宋体" w:eastAsia="宋体" w:hAnsi="宋体" w:hint="eastAsia"/>
          <w:sz w:val="24"/>
          <w:szCs w:val="24"/>
        </w:rPr>
        <w:t>国金鑫新灵活配置（</w:t>
      </w:r>
      <w:r w:rsidRPr="00073C9D">
        <w:rPr>
          <w:rFonts w:ascii="宋体" w:eastAsia="宋体" w:hAnsi="宋体"/>
          <w:sz w:val="24"/>
          <w:szCs w:val="24"/>
        </w:rPr>
        <w:t>LOF）</w:t>
      </w:r>
      <w:r w:rsidRPr="00044CA9">
        <w:rPr>
          <w:rFonts w:ascii="宋体" w:eastAsia="宋体" w:hAnsi="宋体" w:hint="eastAsia"/>
          <w:sz w:val="24"/>
          <w:szCs w:val="24"/>
        </w:rPr>
        <w:t>”，扩位证券简称“</w:t>
      </w:r>
      <w:r w:rsidRPr="00073C9D">
        <w:rPr>
          <w:rFonts w:ascii="宋体" w:eastAsia="宋体" w:hAnsi="宋体" w:hint="eastAsia"/>
          <w:sz w:val="24"/>
          <w:szCs w:val="24"/>
        </w:rPr>
        <w:t>国金鑫新</w:t>
      </w:r>
      <w:r w:rsidRPr="00073C9D">
        <w:rPr>
          <w:rFonts w:ascii="宋体" w:eastAsia="宋体" w:hAnsi="宋体"/>
          <w:sz w:val="24"/>
          <w:szCs w:val="24"/>
        </w:rPr>
        <w:t>LOF</w:t>
      </w:r>
      <w:r w:rsidRPr="00044CA9">
        <w:rPr>
          <w:rFonts w:ascii="宋体" w:eastAsia="宋体" w:hAnsi="宋体" w:hint="eastAsia"/>
          <w:sz w:val="24"/>
          <w:szCs w:val="24"/>
        </w:rPr>
        <w:t>”，以下简称“本基金”</w:t>
      </w:r>
      <w:r>
        <w:rPr>
          <w:rFonts w:ascii="宋体" w:eastAsia="宋体" w:hAnsi="宋体" w:hint="eastAsia"/>
          <w:sz w:val="24"/>
          <w:szCs w:val="24"/>
        </w:rPr>
        <w:t>）</w:t>
      </w:r>
      <w:r w:rsidRPr="00044CA9">
        <w:rPr>
          <w:rFonts w:ascii="宋体" w:eastAsia="宋体" w:hAnsi="宋体" w:hint="eastAsia"/>
          <w:sz w:val="24"/>
          <w:szCs w:val="24"/>
        </w:rPr>
        <w:t>于</w:t>
      </w:r>
      <w:r w:rsidRPr="00044CA9">
        <w:rPr>
          <w:rFonts w:ascii="宋体" w:eastAsia="宋体" w:hAnsi="宋体"/>
          <w:sz w:val="24"/>
          <w:szCs w:val="24"/>
        </w:rPr>
        <w:t>202</w:t>
      </w:r>
      <w:r>
        <w:rPr>
          <w:rFonts w:ascii="宋体" w:eastAsia="宋体" w:hAnsi="宋体"/>
          <w:sz w:val="24"/>
          <w:szCs w:val="24"/>
        </w:rPr>
        <w:t>4</w:t>
      </w:r>
      <w:r w:rsidRPr="00AF43A4">
        <w:rPr>
          <w:rFonts w:ascii="宋体" w:eastAsia="宋体" w:hAnsi="宋体" w:hint="eastAsia"/>
          <w:sz w:val="24"/>
          <w:szCs w:val="24"/>
        </w:rPr>
        <w:t>年</w:t>
      </w:r>
      <w:r>
        <w:rPr>
          <w:rFonts w:ascii="宋体" w:eastAsia="宋体" w:hAnsi="宋体"/>
          <w:sz w:val="24"/>
          <w:szCs w:val="24"/>
        </w:rPr>
        <w:t>2</w:t>
      </w:r>
      <w:r w:rsidRPr="00AF43A4">
        <w:rPr>
          <w:rFonts w:ascii="宋体" w:eastAsia="宋体" w:hAnsi="宋体" w:hint="eastAsia"/>
          <w:sz w:val="24"/>
          <w:szCs w:val="24"/>
        </w:rPr>
        <w:t>月</w:t>
      </w:r>
      <w:r>
        <w:rPr>
          <w:rFonts w:ascii="宋体" w:eastAsia="宋体" w:hAnsi="宋体"/>
          <w:sz w:val="24"/>
          <w:szCs w:val="24"/>
        </w:rPr>
        <w:t>6</w:t>
      </w:r>
      <w:r w:rsidRPr="00AF43A4">
        <w:rPr>
          <w:rFonts w:ascii="宋体" w:eastAsia="宋体" w:hAnsi="宋体" w:hint="eastAsia"/>
          <w:sz w:val="24"/>
          <w:szCs w:val="24"/>
        </w:rPr>
        <w:t>日发布《</w:t>
      </w:r>
      <w:r w:rsidRPr="00662C41">
        <w:rPr>
          <w:rFonts w:ascii="宋体" w:eastAsia="宋体" w:hAnsi="宋体" w:hint="eastAsia"/>
          <w:sz w:val="24"/>
          <w:szCs w:val="24"/>
        </w:rPr>
        <w:t>关于以通讯方式召开</w:t>
      </w: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sidRPr="00662C41">
        <w:rPr>
          <w:rFonts w:ascii="宋体" w:eastAsia="宋体" w:hAnsi="宋体"/>
          <w:sz w:val="24"/>
          <w:szCs w:val="24"/>
        </w:rPr>
        <w:t>基金份额持有人大会的公告</w:t>
      </w:r>
      <w:r w:rsidRPr="00AF43A4">
        <w:rPr>
          <w:rFonts w:ascii="宋体" w:eastAsia="宋体" w:hAnsi="宋体" w:hint="eastAsia"/>
          <w:sz w:val="24"/>
          <w:szCs w:val="24"/>
        </w:rPr>
        <w:t>》</w:t>
      </w:r>
      <w:r w:rsidRPr="00F5353A">
        <w:rPr>
          <w:rFonts w:ascii="宋体" w:eastAsia="宋体" w:hAnsi="宋体" w:hint="eastAsia"/>
          <w:sz w:val="24"/>
          <w:szCs w:val="24"/>
        </w:rPr>
        <w:t>（以下简称“《公告》”）</w:t>
      </w:r>
      <w:r w:rsidRPr="00AF43A4">
        <w:rPr>
          <w:rFonts w:ascii="宋体" w:eastAsia="宋体" w:hAnsi="宋体"/>
          <w:sz w:val="24"/>
          <w:szCs w:val="24"/>
        </w:rPr>
        <w:t>,</w:t>
      </w:r>
      <w:r w:rsidRPr="00AF43A4">
        <w:rPr>
          <w:rFonts w:ascii="宋体" w:eastAsia="宋体" w:hAnsi="宋体" w:hint="eastAsia"/>
          <w:sz w:val="24"/>
          <w:szCs w:val="24"/>
        </w:rPr>
        <w:t>审议《</w:t>
      </w:r>
      <w:r w:rsidRPr="00662C41">
        <w:rPr>
          <w:rFonts w:ascii="宋体" w:eastAsia="宋体" w:hAnsi="宋体" w:hint="eastAsia"/>
          <w:sz w:val="24"/>
          <w:szCs w:val="24"/>
        </w:rPr>
        <w:t>关于终止</w:t>
      </w: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sidRPr="00662C41">
        <w:rPr>
          <w:rFonts w:ascii="宋体" w:eastAsia="宋体" w:hAnsi="宋体" w:hint="eastAsia"/>
          <w:sz w:val="24"/>
          <w:szCs w:val="24"/>
        </w:rPr>
        <w:t>基金合同有关事项的议案</w:t>
      </w:r>
      <w:r w:rsidRPr="00AF43A4">
        <w:rPr>
          <w:rFonts w:ascii="宋体" w:eastAsia="宋体" w:hAnsi="宋体" w:hint="eastAsia"/>
          <w:sz w:val="24"/>
          <w:szCs w:val="24"/>
        </w:rPr>
        <w:t>》</w:t>
      </w:r>
      <w:r w:rsidRPr="00BC4A6D">
        <w:rPr>
          <w:rFonts w:ascii="宋体" w:eastAsia="宋体" w:hAnsi="宋体" w:hint="eastAsia"/>
          <w:sz w:val="24"/>
          <w:szCs w:val="24"/>
        </w:rPr>
        <w:t>（以下简称“《议案》”）</w:t>
      </w:r>
      <w:r>
        <w:rPr>
          <w:rFonts w:ascii="宋体" w:eastAsia="宋体" w:hAnsi="宋体" w:hint="eastAsia"/>
          <w:sz w:val="24"/>
          <w:szCs w:val="24"/>
        </w:rPr>
        <w:t>，</w:t>
      </w:r>
      <w:r w:rsidRPr="00BC4A6D">
        <w:rPr>
          <w:rFonts w:ascii="宋体" w:eastAsia="宋体" w:hAnsi="宋体" w:hint="eastAsia"/>
          <w:sz w:val="24"/>
          <w:szCs w:val="24"/>
        </w:rPr>
        <w:t>并将于</w:t>
      </w:r>
      <w:r w:rsidR="00072E5D">
        <w:rPr>
          <w:rFonts w:ascii="宋体" w:eastAsia="宋体" w:hAnsi="宋体"/>
          <w:sz w:val="24"/>
          <w:szCs w:val="24"/>
        </w:rPr>
        <w:t>2024</w:t>
      </w:r>
      <w:r w:rsidRPr="00BC4A6D">
        <w:rPr>
          <w:rFonts w:ascii="宋体" w:eastAsia="宋体" w:hAnsi="宋体"/>
          <w:sz w:val="24"/>
          <w:szCs w:val="24"/>
        </w:rPr>
        <w:t>年</w:t>
      </w:r>
      <w:r w:rsidR="004A0381">
        <w:rPr>
          <w:rFonts w:ascii="宋体" w:eastAsia="宋体" w:hAnsi="宋体" w:hint="eastAsia"/>
          <w:sz w:val="24"/>
          <w:szCs w:val="24"/>
        </w:rPr>
        <w:t>3</w:t>
      </w:r>
      <w:r w:rsidRPr="00BC4A6D">
        <w:rPr>
          <w:rFonts w:ascii="宋体" w:eastAsia="宋体" w:hAnsi="宋体"/>
          <w:sz w:val="24"/>
          <w:szCs w:val="24"/>
        </w:rPr>
        <w:t>月</w:t>
      </w:r>
      <w:r>
        <w:rPr>
          <w:rFonts w:ascii="宋体" w:eastAsia="宋体" w:hAnsi="宋体"/>
          <w:sz w:val="24"/>
          <w:szCs w:val="24"/>
        </w:rPr>
        <w:t>1</w:t>
      </w:r>
      <w:r w:rsidR="004A0381">
        <w:rPr>
          <w:rFonts w:ascii="宋体" w:eastAsia="宋体" w:hAnsi="宋体"/>
          <w:sz w:val="24"/>
          <w:szCs w:val="24"/>
        </w:rPr>
        <w:t>2</w:t>
      </w:r>
      <w:r w:rsidRPr="00BC4A6D">
        <w:rPr>
          <w:rFonts w:ascii="宋体" w:eastAsia="宋体" w:hAnsi="宋体"/>
          <w:sz w:val="24"/>
          <w:szCs w:val="24"/>
        </w:rPr>
        <w:t>日进行表决结</w:t>
      </w:r>
      <w:r w:rsidRPr="00BC4A6D">
        <w:rPr>
          <w:rFonts w:ascii="宋体" w:eastAsia="宋体" w:hAnsi="宋体" w:hint="eastAsia"/>
          <w:sz w:val="24"/>
          <w:szCs w:val="24"/>
        </w:rPr>
        <w:t>果统计。</w:t>
      </w:r>
      <w:r w:rsidRPr="00F5353A">
        <w:rPr>
          <w:rFonts w:ascii="宋体" w:eastAsia="宋体" w:hAnsi="宋体" w:hint="eastAsia"/>
          <w:sz w:val="24"/>
          <w:szCs w:val="24"/>
        </w:rPr>
        <w:t>现就《公告》中关于本基金停牌等事宜提示如下：</w:t>
      </w:r>
    </w:p>
    <w:p w:rsidR="00F5353A" w:rsidRPr="00BC4A6D" w:rsidRDefault="00F5353A" w:rsidP="00F5353A">
      <w:pPr>
        <w:spacing w:line="360" w:lineRule="auto"/>
        <w:ind w:firstLineChars="200" w:firstLine="480"/>
        <w:rPr>
          <w:rFonts w:ascii="宋体" w:eastAsia="宋体" w:hAnsi="宋体"/>
          <w:sz w:val="24"/>
          <w:szCs w:val="24"/>
        </w:rPr>
      </w:pPr>
      <w:r w:rsidRPr="00BC4A6D">
        <w:rPr>
          <w:rFonts w:ascii="宋体" w:eastAsia="宋体" w:hAnsi="宋体"/>
          <w:sz w:val="24"/>
          <w:szCs w:val="24"/>
        </w:rPr>
        <w:t>1、根据《公告》安排，本基金自基金份额持有人大会计票日（即</w:t>
      </w:r>
      <w:r w:rsidR="00072E5D">
        <w:rPr>
          <w:rFonts w:ascii="宋体" w:eastAsia="宋体" w:hAnsi="宋体"/>
          <w:sz w:val="24"/>
          <w:szCs w:val="24"/>
        </w:rPr>
        <w:t>2024</w:t>
      </w:r>
      <w:r w:rsidR="004E4BF7" w:rsidRPr="00BC4A6D">
        <w:rPr>
          <w:rFonts w:ascii="宋体" w:eastAsia="宋体" w:hAnsi="宋体"/>
          <w:sz w:val="24"/>
          <w:szCs w:val="24"/>
        </w:rPr>
        <w:t>年</w:t>
      </w:r>
      <w:r w:rsidR="007E57AC">
        <w:rPr>
          <w:rFonts w:ascii="宋体" w:eastAsia="宋体" w:hAnsi="宋体" w:hint="eastAsia"/>
          <w:sz w:val="24"/>
          <w:szCs w:val="24"/>
        </w:rPr>
        <w:t>3</w:t>
      </w:r>
      <w:r w:rsidR="004E4BF7" w:rsidRPr="00BC4A6D">
        <w:rPr>
          <w:rFonts w:ascii="宋体" w:eastAsia="宋体" w:hAnsi="宋体"/>
          <w:sz w:val="24"/>
          <w:szCs w:val="24"/>
        </w:rPr>
        <w:t>月</w:t>
      </w:r>
      <w:r w:rsidR="007E57AC">
        <w:rPr>
          <w:rFonts w:ascii="宋体" w:eastAsia="宋体" w:hAnsi="宋体" w:hint="eastAsia"/>
          <w:sz w:val="24"/>
          <w:szCs w:val="24"/>
        </w:rPr>
        <w:t>1</w:t>
      </w:r>
      <w:r w:rsidR="007E57AC">
        <w:rPr>
          <w:rFonts w:ascii="宋体" w:eastAsia="宋体" w:hAnsi="宋体"/>
          <w:sz w:val="24"/>
          <w:szCs w:val="24"/>
        </w:rPr>
        <w:t>2</w:t>
      </w:r>
      <w:r w:rsidR="004E4BF7" w:rsidRPr="00BC4A6D">
        <w:rPr>
          <w:rFonts w:ascii="宋体" w:eastAsia="宋体" w:hAnsi="宋体"/>
          <w:sz w:val="24"/>
          <w:szCs w:val="24"/>
        </w:rPr>
        <w:t>日</w:t>
      </w:r>
      <w:r w:rsidRPr="00BC4A6D">
        <w:rPr>
          <w:rFonts w:ascii="宋体" w:eastAsia="宋体" w:hAnsi="宋体"/>
          <w:sz w:val="24"/>
          <w:szCs w:val="24"/>
        </w:rPr>
        <w:t>）起停牌，</w:t>
      </w:r>
      <w:r w:rsidRPr="00BC4A6D">
        <w:rPr>
          <w:rFonts w:ascii="宋体" w:eastAsia="宋体" w:hAnsi="宋体" w:hint="eastAsia"/>
          <w:sz w:val="24"/>
          <w:szCs w:val="24"/>
        </w:rPr>
        <w:t>期间所有场内业务全部暂停，即停止办理</w:t>
      </w:r>
      <w:bookmarkStart w:id="0" w:name="_Hlk70346200"/>
      <w:r w:rsidRPr="00BC4A6D">
        <w:rPr>
          <w:rFonts w:ascii="宋体" w:eastAsia="宋体" w:hAnsi="宋体" w:hint="eastAsia"/>
          <w:sz w:val="24"/>
          <w:szCs w:val="24"/>
        </w:rPr>
        <w:t>场内交易、申购、赎回与转托管业务</w:t>
      </w:r>
      <w:bookmarkEnd w:id="0"/>
      <w:r w:rsidRPr="00BC4A6D">
        <w:rPr>
          <w:rFonts w:ascii="宋体" w:eastAsia="宋体" w:hAnsi="宋体" w:hint="eastAsia"/>
          <w:sz w:val="24"/>
          <w:szCs w:val="24"/>
        </w:rPr>
        <w:t>。</w:t>
      </w:r>
    </w:p>
    <w:p w:rsidR="00F5353A" w:rsidRPr="00BC4A6D" w:rsidRDefault="00F5353A" w:rsidP="00F5353A">
      <w:pPr>
        <w:spacing w:line="360" w:lineRule="auto"/>
        <w:ind w:firstLineChars="200" w:firstLine="480"/>
        <w:rPr>
          <w:rFonts w:ascii="宋体" w:eastAsia="宋体" w:hAnsi="宋体"/>
          <w:sz w:val="24"/>
          <w:szCs w:val="24"/>
        </w:rPr>
      </w:pPr>
      <w:r w:rsidRPr="00BC4A6D">
        <w:rPr>
          <w:rFonts w:ascii="宋体" w:eastAsia="宋体" w:hAnsi="宋体"/>
          <w:sz w:val="24"/>
          <w:szCs w:val="24"/>
        </w:rPr>
        <w:t>2、如果基金份额持有人大会表决通过了《议案》，则本基金将自基金份额持有人大会决议生</w:t>
      </w:r>
      <w:r w:rsidRPr="00BC4A6D">
        <w:rPr>
          <w:rFonts w:ascii="宋体" w:eastAsia="宋体" w:hAnsi="宋体" w:hint="eastAsia"/>
          <w:sz w:val="24"/>
          <w:szCs w:val="24"/>
        </w:rPr>
        <w:t>效并公告后，于公告当日直接进入清算程序，终止办理申购、赎回</w:t>
      </w:r>
      <w:r w:rsidR="00A20099">
        <w:rPr>
          <w:rFonts w:ascii="宋体" w:eastAsia="宋体" w:hAnsi="宋体" w:hint="eastAsia"/>
          <w:sz w:val="24"/>
          <w:szCs w:val="24"/>
        </w:rPr>
        <w:t>、</w:t>
      </w:r>
      <w:r w:rsidRPr="00BC4A6D">
        <w:rPr>
          <w:rFonts w:ascii="宋体" w:eastAsia="宋体" w:hAnsi="宋体" w:hint="eastAsia"/>
          <w:sz w:val="24"/>
          <w:szCs w:val="24"/>
        </w:rPr>
        <w:t>转托管</w:t>
      </w:r>
      <w:r w:rsidR="00A20099" w:rsidRPr="00BC4A6D">
        <w:rPr>
          <w:rFonts w:ascii="宋体" w:eastAsia="宋体" w:hAnsi="宋体" w:hint="eastAsia"/>
          <w:sz w:val="24"/>
          <w:szCs w:val="24"/>
        </w:rPr>
        <w:t>与</w:t>
      </w:r>
      <w:r w:rsidR="00A20099" w:rsidRPr="00741407">
        <w:rPr>
          <w:rFonts w:ascii="宋体" w:eastAsia="宋体" w:hAnsi="宋体" w:hint="eastAsia"/>
          <w:sz w:val="24"/>
          <w:szCs w:val="24"/>
        </w:rPr>
        <w:t>定期</w:t>
      </w:r>
      <w:r w:rsidR="00907F91">
        <w:rPr>
          <w:rFonts w:ascii="宋体" w:eastAsia="宋体" w:hAnsi="宋体" w:hint="eastAsia"/>
          <w:sz w:val="24"/>
          <w:szCs w:val="24"/>
        </w:rPr>
        <w:t>定额投资</w:t>
      </w:r>
      <w:r w:rsidRPr="00BC4A6D">
        <w:rPr>
          <w:rFonts w:ascii="宋体" w:eastAsia="宋体" w:hAnsi="宋体" w:hint="eastAsia"/>
          <w:sz w:val="24"/>
          <w:szCs w:val="24"/>
        </w:rPr>
        <w:t>等业务，本基金不再恢复场内业务。敬请投资者注意。</w:t>
      </w:r>
    </w:p>
    <w:p w:rsidR="0099402B" w:rsidRDefault="00F5353A" w:rsidP="00F5353A">
      <w:pPr>
        <w:spacing w:line="360" w:lineRule="auto"/>
        <w:ind w:firstLineChars="200" w:firstLine="480"/>
        <w:rPr>
          <w:rFonts w:ascii="宋体" w:eastAsia="宋体" w:hAnsi="宋体"/>
          <w:sz w:val="24"/>
          <w:szCs w:val="24"/>
        </w:rPr>
      </w:pPr>
      <w:r w:rsidRPr="00BC4A6D">
        <w:rPr>
          <w:rFonts w:ascii="宋体" w:eastAsia="宋体" w:hAnsi="宋体" w:hint="eastAsia"/>
          <w:sz w:val="24"/>
          <w:szCs w:val="24"/>
        </w:rPr>
        <w:t>如果基金份额持有人大会表决未通过《议案》，则本基金恢复场内交易事宜将另行发布公告，敬请关注。</w:t>
      </w:r>
    </w:p>
    <w:p w:rsidR="00F5353A" w:rsidRDefault="00F5353A" w:rsidP="00F5353A">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662C41">
        <w:rPr>
          <w:rFonts w:ascii="宋体" w:eastAsia="宋体" w:hAnsi="宋体" w:hint="eastAsia"/>
          <w:sz w:val="24"/>
          <w:szCs w:val="24"/>
        </w:rPr>
        <w:t>投资者欲了解本基金基金份额持有人大会的详细情况，请仔细阅读</w:t>
      </w:r>
      <w:r w:rsidR="00072E5D">
        <w:rPr>
          <w:rFonts w:ascii="宋体" w:eastAsia="宋体" w:hAnsi="宋体"/>
          <w:sz w:val="24"/>
          <w:szCs w:val="24"/>
        </w:rPr>
        <w:t>2024</w:t>
      </w:r>
      <w:r w:rsidR="004E4BF7" w:rsidRPr="00AF43A4">
        <w:rPr>
          <w:rFonts w:ascii="宋体" w:eastAsia="宋体" w:hAnsi="宋体" w:hint="eastAsia"/>
          <w:sz w:val="24"/>
          <w:szCs w:val="24"/>
        </w:rPr>
        <w:t>年</w:t>
      </w:r>
      <w:r w:rsidR="004E4BF7">
        <w:rPr>
          <w:rFonts w:ascii="宋体" w:eastAsia="宋体" w:hAnsi="宋体"/>
          <w:sz w:val="24"/>
          <w:szCs w:val="24"/>
        </w:rPr>
        <w:t>2</w:t>
      </w:r>
      <w:r w:rsidR="004E4BF7" w:rsidRPr="00AF43A4">
        <w:rPr>
          <w:rFonts w:ascii="宋体" w:eastAsia="宋体" w:hAnsi="宋体" w:hint="eastAsia"/>
          <w:sz w:val="24"/>
          <w:szCs w:val="24"/>
        </w:rPr>
        <w:t>月</w:t>
      </w:r>
      <w:r w:rsidR="004E4BF7">
        <w:rPr>
          <w:rFonts w:ascii="宋体" w:eastAsia="宋体" w:hAnsi="宋体"/>
          <w:sz w:val="24"/>
          <w:szCs w:val="24"/>
        </w:rPr>
        <w:t>6</w:t>
      </w:r>
      <w:r w:rsidR="004E4BF7" w:rsidRPr="00AF43A4">
        <w:rPr>
          <w:rFonts w:ascii="宋体" w:eastAsia="宋体" w:hAnsi="宋体" w:hint="eastAsia"/>
          <w:sz w:val="24"/>
          <w:szCs w:val="24"/>
        </w:rPr>
        <w:t>日</w:t>
      </w:r>
      <w:r w:rsidRPr="00662C41">
        <w:rPr>
          <w:rFonts w:ascii="宋体" w:eastAsia="宋体" w:hAnsi="宋体" w:hint="eastAsia"/>
          <w:sz w:val="24"/>
          <w:szCs w:val="24"/>
        </w:rPr>
        <w:t>刊登于指定媒介和基金管理人网站（</w:t>
      </w:r>
      <w:r w:rsidR="004E4BF7" w:rsidRPr="004E4BF7">
        <w:rPr>
          <w:rFonts w:ascii="宋体" w:eastAsia="宋体" w:hAnsi="宋体"/>
          <w:sz w:val="24"/>
          <w:szCs w:val="24"/>
        </w:rPr>
        <w:t>http://www.gfund.com</w:t>
      </w:r>
      <w:r w:rsidRPr="00662C41">
        <w:rPr>
          <w:rFonts w:ascii="宋体" w:eastAsia="宋体" w:hAnsi="宋体" w:hint="eastAsia"/>
          <w:sz w:val="24"/>
          <w:szCs w:val="24"/>
        </w:rPr>
        <w:t>）的《</w:t>
      </w:r>
      <w:r w:rsidR="00814089" w:rsidRPr="00662C41">
        <w:rPr>
          <w:rFonts w:ascii="宋体" w:eastAsia="宋体" w:hAnsi="宋体" w:hint="eastAsia"/>
          <w:sz w:val="24"/>
          <w:szCs w:val="24"/>
        </w:rPr>
        <w:t>关于以通讯方式召开</w:t>
      </w:r>
      <w:r w:rsidR="00814089" w:rsidRPr="00540511">
        <w:rPr>
          <w:rFonts w:ascii="宋体" w:eastAsia="宋体" w:hAnsi="宋体" w:hint="eastAsia"/>
          <w:sz w:val="24"/>
          <w:szCs w:val="24"/>
        </w:rPr>
        <w:t>国金鑫新灵活配置混合型证券投资基金（</w:t>
      </w:r>
      <w:r w:rsidR="00814089" w:rsidRPr="00540511">
        <w:rPr>
          <w:rFonts w:ascii="宋体" w:eastAsia="宋体" w:hAnsi="宋体"/>
          <w:sz w:val="24"/>
          <w:szCs w:val="24"/>
        </w:rPr>
        <w:t>LOF）</w:t>
      </w:r>
      <w:r w:rsidR="00814089" w:rsidRPr="00662C41">
        <w:rPr>
          <w:rFonts w:ascii="宋体" w:eastAsia="宋体" w:hAnsi="宋体"/>
          <w:sz w:val="24"/>
          <w:szCs w:val="24"/>
        </w:rPr>
        <w:t>基金份额持有人大会的公告</w:t>
      </w:r>
      <w:r w:rsidRPr="00662C41">
        <w:rPr>
          <w:rFonts w:ascii="宋体" w:eastAsia="宋体" w:hAnsi="宋体" w:hint="eastAsia"/>
          <w:sz w:val="24"/>
          <w:szCs w:val="24"/>
        </w:rPr>
        <w:t>》。</w:t>
      </w:r>
    </w:p>
    <w:p w:rsidR="00684641" w:rsidRPr="00E40E36" w:rsidRDefault="00684641" w:rsidP="00662C41">
      <w:pPr>
        <w:spacing w:line="360" w:lineRule="auto"/>
        <w:ind w:firstLineChars="200" w:firstLine="480"/>
        <w:rPr>
          <w:rFonts w:ascii="宋体" w:eastAsia="宋体" w:hAnsi="宋体"/>
          <w:sz w:val="24"/>
          <w:szCs w:val="24"/>
        </w:rPr>
      </w:pP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风险提示：</w:t>
      </w: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w:t>
      </w:r>
      <w:r w:rsidRPr="00662C41">
        <w:rPr>
          <w:rFonts w:ascii="宋体" w:eastAsia="宋体" w:hAnsi="宋体" w:hint="eastAsia"/>
          <w:sz w:val="24"/>
          <w:szCs w:val="24"/>
        </w:rPr>
        <w:lastRenderedPageBreak/>
        <w:t>资者投资基金时应认真阅读基金的《基金合同》</w:t>
      </w:r>
      <w:bookmarkStart w:id="1" w:name="_GoBack"/>
      <w:bookmarkEnd w:id="1"/>
      <w:r w:rsidRPr="00662C41">
        <w:rPr>
          <w:rFonts w:ascii="宋体" w:eastAsia="宋体" w:hAnsi="宋体" w:hint="eastAsia"/>
          <w:sz w:val="24"/>
          <w:szCs w:val="24"/>
        </w:rPr>
        <w:t>《招募说明书》等文件。</w:t>
      </w:r>
    </w:p>
    <w:p w:rsidR="00DF4937" w:rsidRDefault="00DF4937" w:rsidP="00662C41">
      <w:pPr>
        <w:spacing w:line="360" w:lineRule="auto"/>
        <w:ind w:firstLineChars="200" w:firstLine="480"/>
        <w:rPr>
          <w:rFonts w:ascii="宋体" w:eastAsia="宋体" w:hAnsi="宋体"/>
          <w:sz w:val="24"/>
          <w:szCs w:val="24"/>
        </w:rPr>
      </w:pPr>
    </w:p>
    <w:p w:rsidR="00662C41" w:rsidRDefault="00662C41"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072E5D">
        <w:rPr>
          <w:rFonts w:ascii="宋体" w:eastAsia="宋体" w:hAnsi="宋体"/>
          <w:sz w:val="24"/>
          <w:szCs w:val="24"/>
        </w:rPr>
        <w:t>2024</w:t>
      </w:r>
      <w:r w:rsidR="00332CDC" w:rsidRPr="00662C41">
        <w:rPr>
          <w:rFonts w:ascii="宋体" w:eastAsia="宋体" w:hAnsi="宋体" w:hint="eastAsia"/>
          <w:sz w:val="24"/>
          <w:szCs w:val="24"/>
        </w:rPr>
        <w:t>年</w:t>
      </w:r>
      <w:r w:rsidR="007E57AC">
        <w:rPr>
          <w:rFonts w:ascii="宋体" w:eastAsia="宋体" w:hAnsi="宋体" w:hint="eastAsia"/>
          <w:sz w:val="24"/>
          <w:szCs w:val="24"/>
        </w:rPr>
        <w:t>3</w:t>
      </w:r>
      <w:r w:rsidR="00332CDC" w:rsidRPr="00662C41">
        <w:rPr>
          <w:rFonts w:ascii="宋体" w:eastAsia="宋体" w:hAnsi="宋体" w:hint="eastAsia"/>
          <w:sz w:val="24"/>
          <w:szCs w:val="24"/>
        </w:rPr>
        <w:t>月</w:t>
      </w:r>
      <w:r w:rsidR="00F20C48">
        <w:rPr>
          <w:rFonts w:ascii="宋体" w:eastAsia="宋体" w:hAnsi="宋体"/>
          <w:sz w:val="24"/>
          <w:szCs w:val="24"/>
        </w:rPr>
        <w:t>8</w:t>
      </w:r>
      <w:r w:rsidRPr="00662C41">
        <w:rPr>
          <w:rFonts w:ascii="宋体" w:eastAsia="宋体" w:hAnsi="宋体" w:hint="eastAsia"/>
          <w:sz w:val="24"/>
          <w:szCs w:val="24"/>
        </w:rPr>
        <w:t>日</w:t>
      </w:r>
    </w:p>
    <w:sectPr w:rsidR="00DF4937" w:rsidRPr="00662C41" w:rsidSect="004A2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718" w:rsidRDefault="00D03718" w:rsidP="00DF4937">
      <w:r>
        <w:separator/>
      </w:r>
    </w:p>
  </w:endnote>
  <w:endnote w:type="continuationSeparator" w:id="0">
    <w:p w:rsidR="00D03718" w:rsidRDefault="00D03718"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718" w:rsidRDefault="00D03718" w:rsidP="00DF4937">
      <w:r>
        <w:separator/>
      </w:r>
    </w:p>
  </w:footnote>
  <w:footnote w:type="continuationSeparator" w:id="0">
    <w:p w:rsidR="00D03718" w:rsidRDefault="00D03718"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64AE7"/>
    <w:rsid w:val="00072E5D"/>
    <w:rsid w:val="000838EE"/>
    <w:rsid w:val="000D2D04"/>
    <w:rsid w:val="000E7DA7"/>
    <w:rsid w:val="0014424A"/>
    <w:rsid w:val="001A27CC"/>
    <w:rsid w:val="00252FB9"/>
    <w:rsid w:val="00266A5C"/>
    <w:rsid w:val="002D7AFC"/>
    <w:rsid w:val="00325B90"/>
    <w:rsid w:val="00332CDC"/>
    <w:rsid w:val="00346407"/>
    <w:rsid w:val="003B2219"/>
    <w:rsid w:val="00403366"/>
    <w:rsid w:val="00446275"/>
    <w:rsid w:val="004A0381"/>
    <w:rsid w:val="004A25D1"/>
    <w:rsid w:val="004A4548"/>
    <w:rsid w:val="004E4BF7"/>
    <w:rsid w:val="00516E80"/>
    <w:rsid w:val="005706DF"/>
    <w:rsid w:val="005C2319"/>
    <w:rsid w:val="005F125B"/>
    <w:rsid w:val="00662C41"/>
    <w:rsid w:val="00684641"/>
    <w:rsid w:val="00691015"/>
    <w:rsid w:val="00741407"/>
    <w:rsid w:val="00750DA4"/>
    <w:rsid w:val="007602AF"/>
    <w:rsid w:val="007C4491"/>
    <w:rsid w:val="007D6F23"/>
    <w:rsid w:val="007E57AC"/>
    <w:rsid w:val="00814089"/>
    <w:rsid w:val="008C2239"/>
    <w:rsid w:val="00907F91"/>
    <w:rsid w:val="0099402B"/>
    <w:rsid w:val="009B2473"/>
    <w:rsid w:val="00A20099"/>
    <w:rsid w:val="00AA3832"/>
    <w:rsid w:val="00AD4216"/>
    <w:rsid w:val="00AF43A4"/>
    <w:rsid w:val="00B84132"/>
    <w:rsid w:val="00BC4A6D"/>
    <w:rsid w:val="00BD152D"/>
    <w:rsid w:val="00C241E0"/>
    <w:rsid w:val="00C91549"/>
    <w:rsid w:val="00CB7B2F"/>
    <w:rsid w:val="00CC53E2"/>
    <w:rsid w:val="00D03718"/>
    <w:rsid w:val="00D17603"/>
    <w:rsid w:val="00D21267"/>
    <w:rsid w:val="00D2506E"/>
    <w:rsid w:val="00D315F3"/>
    <w:rsid w:val="00D35F2C"/>
    <w:rsid w:val="00D85426"/>
    <w:rsid w:val="00DA6D77"/>
    <w:rsid w:val="00DF4937"/>
    <w:rsid w:val="00E40E36"/>
    <w:rsid w:val="00EC0837"/>
    <w:rsid w:val="00F20C48"/>
    <w:rsid w:val="00F5353A"/>
    <w:rsid w:val="00F6455F"/>
    <w:rsid w:val="00F86D39"/>
    <w:rsid w:val="00FA32E2"/>
    <w:rsid w:val="00FA56F1"/>
    <w:rsid w:val="00FD14CF"/>
    <w:rsid w:val="00FD414A"/>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4</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2024-03-07T16:02:00Z</dcterms:created>
  <dcterms:modified xsi:type="dcterms:W3CDTF">2024-03-07T16:02:00Z</dcterms:modified>
</cp:coreProperties>
</file>