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F6" w:rsidRDefault="00D64DF6" w:rsidP="00D64DF6">
      <w:pPr>
        <w:jc w:val="center"/>
        <w:rPr>
          <w:rFonts w:hAnsi="宋体"/>
          <w:b/>
          <w:sz w:val="48"/>
          <w:szCs w:val="48"/>
        </w:rPr>
      </w:pPr>
      <w:r w:rsidRPr="00623685">
        <w:rPr>
          <w:rFonts w:hAnsi="宋体"/>
          <w:b/>
          <w:sz w:val="48"/>
          <w:szCs w:val="48"/>
        </w:rPr>
        <w:t>鹏扬淳开债券型证券投资基金恢复大额申购（含转换转入、定期定额投资）业务的公告</w:t>
      </w:r>
    </w:p>
    <w:p w:rsidR="00DA2749" w:rsidRDefault="00426411" w:rsidP="00D64DF6">
      <w:pPr>
        <w:pStyle w:val="1"/>
        <w:spacing w:before="156" w:after="156"/>
      </w:pPr>
      <w:r>
        <w:rPr>
          <w:rFonts w:hint="eastAsia"/>
        </w:rPr>
        <w:t>公告基本信息</w:t>
      </w:r>
    </w:p>
    <w:tbl>
      <w:tblPr>
        <w:tblStyle w:val="a9"/>
        <w:tblW w:w="9072" w:type="dxa"/>
        <w:jc w:val="center"/>
        <w:tblLayout w:type="fixed"/>
        <w:tblLook w:val="04A0"/>
      </w:tblPr>
      <w:tblGrid>
        <w:gridCol w:w="1323"/>
        <w:gridCol w:w="2869"/>
        <w:gridCol w:w="1626"/>
        <w:gridCol w:w="1626"/>
        <w:gridCol w:w="1628"/>
      </w:tblGrid>
      <w:tr w:rsidR="006A5544" w:rsidTr="00947BB3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基金名称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 w:rsidRPr="00620D3A">
              <w:rPr>
                <w:szCs w:val="22"/>
              </w:rPr>
              <w:t>鹏扬淳开债券型证券投资基金</w:t>
            </w:r>
          </w:p>
        </w:tc>
      </w:tr>
      <w:tr w:rsidR="006A5544" w:rsidTr="00947BB3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基金简称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 w:rsidRPr="00620D3A">
              <w:rPr>
                <w:szCs w:val="22"/>
              </w:rPr>
              <w:t>鹏扬淳开债券</w:t>
            </w:r>
          </w:p>
        </w:tc>
      </w:tr>
      <w:tr w:rsidR="006A5544" w:rsidTr="00947BB3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基金主代码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 w:rsidRPr="00620D3A">
              <w:rPr>
                <w:szCs w:val="22"/>
              </w:rPr>
              <w:t>007408</w:t>
            </w:r>
          </w:p>
        </w:tc>
      </w:tr>
      <w:tr w:rsidR="006A5544" w:rsidTr="00947BB3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基金管理人名称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 w:rsidRPr="00620D3A">
              <w:rPr>
                <w:szCs w:val="22"/>
              </w:rPr>
              <w:t>鹏扬基金管理有限公司</w:t>
            </w:r>
          </w:p>
        </w:tc>
      </w:tr>
      <w:tr w:rsidR="006A5544" w:rsidTr="00947BB3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公告依据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 w:rsidRPr="00620D3A">
              <w:rPr>
                <w:szCs w:val="22"/>
              </w:rPr>
              <w:t>根据法律法规以及《鹏扬淳开债券型证券投资基金基金合同》、《鹏扬淳开债券型证券投资基金招募说明书》的有关规定。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A5544" w:rsidRDefault="006A5544" w:rsidP="006A5544">
            <w:r w:rsidRPr="00620D3A">
              <w:rPr>
                <w:szCs w:val="22"/>
              </w:rPr>
              <w:t>恢复相关业务的日期及原因说明</w:t>
            </w:r>
          </w:p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恢复申购日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/>
            <w:tcMar>
              <w:left w:w="85" w:type="dxa"/>
              <w:right w:w="85" w:type="dxa"/>
            </w:tcMar>
            <w:vAlign w:val="center"/>
          </w:tcPr>
          <w:p w:rsidR="006A5544" w:rsidRDefault="006A5544" w:rsidP="006A5544"/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恢复大额申购日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2024年3月11日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/>
            <w:tcMar>
              <w:left w:w="85" w:type="dxa"/>
              <w:right w:w="85" w:type="dxa"/>
            </w:tcMar>
            <w:vAlign w:val="center"/>
          </w:tcPr>
          <w:p w:rsidR="006A5544" w:rsidRDefault="006A5544" w:rsidP="006A5544"/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恢复转换转入日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/>
            <w:tcMar>
              <w:left w:w="85" w:type="dxa"/>
              <w:right w:w="85" w:type="dxa"/>
            </w:tcMar>
            <w:vAlign w:val="center"/>
          </w:tcPr>
          <w:p w:rsidR="006A5544" w:rsidRDefault="006A5544" w:rsidP="006A5544"/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恢复大额转换转入日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2024年3月11日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/>
            <w:tcMar>
              <w:left w:w="85" w:type="dxa"/>
              <w:right w:w="85" w:type="dxa"/>
            </w:tcMar>
            <w:vAlign w:val="center"/>
          </w:tcPr>
          <w:p w:rsidR="006A5544" w:rsidRDefault="006A5544" w:rsidP="006A5544"/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恢复赎回日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/>
            <w:tcMar>
              <w:left w:w="85" w:type="dxa"/>
              <w:right w:w="85" w:type="dxa"/>
            </w:tcMar>
            <w:vAlign w:val="center"/>
          </w:tcPr>
          <w:p w:rsidR="006A5544" w:rsidRDefault="006A5544" w:rsidP="006A5544"/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恢复转换转出日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/>
            <w:tcMar>
              <w:left w:w="85" w:type="dxa"/>
              <w:right w:w="85" w:type="dxa"/>
            </w:tcMar>
            <w:vAlign w:val="center"/>
          </w:tcPr>
          <w:p w:rsidR="006A5544" w:rsidRDefault="006A5544" w:rsidP="006A5544"/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恢复</w:t>
            </w:r>
            <w:r w:rsidR="00DC349B">
              <w:rPr>
                <w:rFonts w:hint="eastAsia"/>
                <w:szCs w:val="22"/>
              </w:rPr>
              <w:t>大额</w:t>
            </w:r>
            <w:r w:rsidRPr="00620D3A">
              <w:rPr>
                <w:szCs w:val="22"/>
              </w:rPr>
              <w:t>定期定额投资日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2024年3月11日</w:t>
            </w:r>
          </w:p>
        </w:tc>
      </w:tr>
      <w:tr w:rsidR="006A5544" w:rsidTr="00947BB3">
        <w:trPr>
          <w:jc w:val="center"/>
        </w:trPr>
        <w:tc>
          <w:tcPr>
            <w:tcW w:w="1323" w:type="dxa"/>
            <w:vMerge/>
            <w:tcMar>
              <w:left w:w="85" w:type="dxa"/>
              <w:right w:w="85" w:type="dxa"/>
            </w:tcMar>
            <w:vAlign w:val="center"/>
          </w:tcPr>
          <w:p w:rsidR="006A5544" w:rsidRDefault="006A5544" w:rsidP="006A5544"/>
        </w:tc>
        <w:tc>
          <w:tcPr>
            <w:tcW w:w="2869" w:type="dxa"/>
            <w:tcMar>
              <w:left w:w="85" w:type="dxa"/>
              <w:right w:w="85" w:type="dxa"/>
            </w:tcMar>
            <w:vAlign w:val="center"/>
          </w:tcPr>
          <w:p w:rsidR="006A5544" w:rsidRPr="00620D3A" w:rsidRDefault="00DC349B" w:rsidP="00DC349B">
            <w:pPr>
              <w:rPr>
                <w:szCs w:val="22"/>
              </w:rPr>
            </w:pPr>
            <w:r>
              <w:rPr>
                <w:szCs w:val="22"/>
              </w:rPr>
              <w:t>恢复大额</w:t>
            </w:r>
            <w:r w:rsidR="006A5544" w:rsidRPr="00620D3A">
              <w:rPr>
                <w:szCs w:val="22"/>
              </w:rPr>
              <w:t>申购（</w:t>
            </w:r>
            <w:r>
              <w:rPr>
                <w:rFonts w:hint="eastAsia"/>
                <w:szCs w:val="22"/>
              </w:rPr>
              <w:t>含</w:t>
            </w:r>
            <w:r w:rsidR="006A5544" w:rsidRPr="00620D3A">
              <w:rPr>
                <w:szCs w:val="22"/>
              </w:rPr>
              <w:t>转换转入、定期定额投资）的原因说明</w:t>
            </w:r>
          </w:p>
        </w:tc>
        <w:tc>
          <w:tcPr>
            <w:tcW w:w="4880" w:type="dxa"/>
            <w:gridSpan w:val="3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jc w:val="left"/>
              <w:rPr>
                <w:szCs w:val="22"/>
              </w:rPr>
            </w:pPr>
            <w:r w:rsidRPr="00620D3A">
              <w:rPr>
                <w:szCs w:val="22"/>
              </w:rPr>
              <w:t>为满足投资者需求</w:t>
            </w:r>
          </w:p>
        </w:tc>
      </w:tr>
      <w:tr w:rsidR="00DC349B" w:rsidTr="00DC349B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>
              <w:rPr>
                <w:szCs w:val="22"/>
              </w:rPr>
              <w:t>下属</w:t>
            </w:r>
            <w:r w:rsidR="00DC349B">
              <w:rPr>
                <w:szCs w:val="22"/>
              </w:rPr>
              <w:t>分类</w:t>
            </w:r>
            <w:r w:rsidRPr="00620D3A">
              <w:rPr>
                <w:szCs w:val="22"/>
              </w:rPr>
              <w:t>基金的基金简称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776D16" w:rsidRDefault="006A5544" w:rsidP="006A5544">
            <w:r w:rsidRPr="00776D16">
              <w:rPr>
                <w:rFonts w:hint="eastAsia"/>
              </w:rPr>
              <w:t>鹏扬淳开债券A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776D16" w:rsidRDefault="006A5544" w:rsidP="006A5544">
            <w:r w:rsidRPr="00776D16">
              <w:rPr>
                <w:rFonts w:hint="eastAsia"/>
              </w:rPr>
              <w:t>鹏扬淳开债券C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0E3BFA" w:rsidRDefault="006A5544" w:rsidP="006A5544">
            <w:r w:rsidRPr="000E3BFA">
              <w:rPr>
                <w:rFonts w:hint="eastAsia"/>
              </w:rPr>
              <w:t>鹏扬淳开债券D</w:t>
            </w:r>
          </w:p>
        </w:tc>
      </w:tr>
      <w:tr w:rsidR="00DC349B" w:rsidTr="00DC349B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6A5544">
            <w:pPr>
              <w:rPr>
                <w:szCs w:val="22"/>
              </w:rPr>
            </w:pPr>
            <w:r w:rsidRPr="00620D3A">
              <w:rPr>
                <w:szCs w:val="22"/>
              </w:rPr>
              <w:t>下属</w:t>
            </w:r>
            <w:r w:rsidR="00DC349B">
              <w:rPr>
                <w:szCs w:val="22"/>
              </w:rPr>
              <w:t>分类</w:t>
            </w:r>
            <w:r w:rsidRPr="00620D3A">
              <w:rPr>
                <w:szCs w:val="22"/>
              </w:rPr>
              <w:t>基金的交易代码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776D16" w:rsidRDefault="006A5544" w:rsidP="006A5544">
            <w:r w:rsidRPr="00776D16">
              <w:rPr>
                <w:rFonts w:hint="eastAsia"/>
              </w:rPr>
              <w:t xml:space="preserve">007408 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776D16" w:rsidRDefault="006A5544" w:rsidP="006A5544">
            <w:r w:rsidRPr="00776D16">
              <w:rPr>
                <w:rFonts w:hint="eastAsia"/>
              </w:rPr>
              <w:t xml:space="preserve">007409 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0E3BFA" w:rsidRDefault="006A5544" w:rsidP="006A5544">
            <w:r w:rsidRPr="000E3BFA">
              <w:rPr>
                <w:rFonts w:hint="eastAsia"/>
              </w:rPr>
              <w:t xml:space="preserve">014504 </w:t>
            </w:r>
          </w:p>
        </w:tc>
      </w:tr>
      <w:tr w:rsidR="00DC349B" w:rsidTr="00DC349B">
        <w:trPr>
          <w:jc w:val="center"/>
        </w:trPr>
        <w:tc>
          <w:tcPr>
            <w:tcW w:w="4192" w:type="dxa"/>
            <w:gridSpan w:val="2"/>
            <w:tcMar>
              <w:left w:w="85" w:type="dxa"/>
              <w:right w:w="85" w:type="dxa"/>
            </w:tcMar>
            <w:vAlign w:val="center"/>
          </w:tcPr>
          <w:p w:rsidR="006A5544" w:rsidRPr="00620D3A" w:rsidRDefault="006A5544" w:rsidP="00DC349B">
            <w:pPr>
              <w:rPr>
                <w:szCs w:val="22"/>
              </w:rPr>
            </w:pPr>
            <w:r w:rsidRPr="00620D3A">
              <w:rPr>
                <w:szCs w:val="22"/>
              </w:rPr>
              <w:t>该</w:t>
            </w:r>
            <w:r w:rsidR="00DC349B">
              <w:rPr>
                <w:szCs w:val="22"/>
              </w:rPr>
              <w:t>分类</w:t>
            </w:r>
            <w:r w:rsidRPr="00620D3A">
              <w:rPr>
                <w:szCs w:val="22"/>
              </w:rPr>
              <w:t>基金是否</w:t>
            </w:r>
            <w:r w:rsidR="00DC349B">
              <w:rPr>
                <w:szCs w:val="22"/>
              </w:rPr>
              <w:t>恢复大额</w:t>
            </w:r>
            <w:r w:rsidRPr="00620D3A">
              <w:rPr>
                <w:szCs w:val="22"/>
              </w:rPr>
              <w:t>申购（</w:t>
            </w:r>
            <w:r w:rsidR="00DC349B">
              <w:rPr>
                <w:rFonts w:hint="eastAsia"/>
                <w:szCs w:val="22"/>
              </w:rPr>
              <w:t>含</w:t>
            </w:r>
            <w:r w:rsidRPr="00620D3A">
              <w:rPr>
                <w:szCs w:val="22"/>
              </w:rPr>
              <w:t>转换转入、定期定额投资）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776D16" w:rsidRDefault="006A5544" w:rsidP="006A5544">
            <w:r w:rsidRPr="00776D16">
              <w:rPr>
                <w:rFonts w:hint="eastAsia"/>
              </w:rPr>
              <w:t>是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776D16" w:rsidRDefault="006A5544" w:rsidP="006A5544">
            <w:r w:rsidRPr="00776D16">
              <w:rPr>
                <w:rFonts w:hint="eastAsia"/>
              </w:rPr>
              <w:t>是</w:t>
            </w:r>
          </w:p>
        </w:tc>
        <w:tc>
          <w:tcPr>
            <w:tcW w:w="1626" w:type="dxa"/>
            <w:tcMar>
              <w:left w:w="85" w:type="dxa"/>
              <w:right w:w="85" w:type="dxa"/>
            </w:tcMar>
            <w:vAlign w:val="center"/>
          </w:tcPr>
          <w:p w:rsidR="006A5544" w:rsidRPr="000E3BFA" w:rsidRDefault="006A5544" w:rsidP="006A5544">
            <w:r w:rsidRPr="000E3BFA">
              <w:rPr>
                <w:rFonts w:hint="eastAsia"/>
              </w:rPr>
              <w:t>是</w:t>
            </w:r>
          </w:p>
        </w:tc>
      </w:tr>
    </w:tbl>
    <w:p w:rsidR="00426411" w:rsidRDefault="00426411" w:rsidP="00426411">
      <w:pPr>
        <w:pStyle w:val="1"/>
        <w:spacing w:before="156" w:after="156"/>
      </w:pPr>
      <w:r w:rsidRPr="00426411">
        <w:rPr>
          <w:rFonts w:hint="eastAsia"/>
        </w:rPr>
        <w:t>其他需要提示的事项</w:t>
      </w:r>
    </w:p>
    <w:p w:rsidR="00426411" w:rsidRDefault="00426411" w:rsidP="00623685">
      <w:pPr>
        <w:pStyle w:val="a8"/>
        <w:ind w:firstLine="420"/>
      </w:pPr>
      <w:r w:rsidRPr="00620D3A">
        <w:t>（1）鹏扬淳开债券型证券投资基金（以下简称</w:t>
      </w:r>
      <w:r w:rsidRPr="00620D3A">
        <w:t>“</w:t>
      </w:r>
      <w:r w:rsidRPr="00620D3A">
        <w:t>本基金</w:t>
      </w:r>
      <w:r w:rsidRPr="00620D3A">
        <w:t>”</w:t>
      </w:r>
      <w:r w:rsidRPr="00620D3A">
        <w:t>）目前为暂停接受单日单个基金账户累计申购（含转换转入、定期定额投资）金额超过500万元（不含500万元）的业务状态。本基金管理人现决定自2024年3月11日起（含当日）取消上述限制，恢复办理本基金大额申购（含转换转入、定期定额投资）业务。</w:t>
      </w:r>
      <w:r w:rsidRPr="00620D3A">
        <w:br/>
        <w:t xml:space="preserve">    （2）本公告仅对本基金恢复大额申购（含转换转入、定期定额投资）有关事项予以说明。投资者欲了解本基金的详细情况，可通过本公司网站或相关销售机构查阅《鹏扬淳开债券型证券投资基金基金合同》和《鹏扬淳开债券型证券投资基金招募说明书》等资料。</w:t>
      </w:r>
      <w:r w:rsidRPr="00620D3A">
        <w:br/>
        <w:t xml:space="preserve">    （3）投资者如有疑问，请拨打本基金管理人客户服务热线： 400-968-6688(免长途通话费)，</w:t>
      </w:r>
      <w:r w:rsidRPr="00620D3A">
        <w:lastRenderedPageBreak/>
        <w:t>或登录网站 www.pyamc.com 获取相关信息。</w:t>
      </w:r>
      <w:r w:rsidRPr="00620D3A">
        <w:br/>
        <w:t xml:space="preserve">    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 w:rsidRPr="00620D3A">
        <w:br/>
        <w:t xml:space="preserve">    </w:t>
      </w:r>
      <w:r w:rsidRPr="00620D3A">
        <w:br/>
        <w:t xml:space="preserve">    特此公告。</w:t>
      </w:r>
    </w:p>
    <w:p w:rsidR="00C107DC" w:rsidRPr="00DC349B" w:rsidRDefault="00C107DC" w:rsidP="00DC349B">
      <w:pPr>
        <w:pStyle w:val="a8"/>
        <w:ind w:firstLine="420"/>
      </w:pPr>
      <w:bookmarkStart w:id="0" w:name="_GoBack"/>
    </w:p>
    <w:p w:rsidR="00C107DC" w:rsidRPr="00DC349B" w:rsidRDefault="00C107DC" w:rsidP="00DC349B">
      <w:pPr>
        <w:pStyle w:val="a8"/>
        <w:ind w:firstLine="420"/>
      </w:pPr>
    </w:p>
    <w:p w:rsidR="00C107DC" w:rsidRPr="00DC349B" w:rsidRDefault="00C107DC" w:rsidP="00DC349B">
      <w:pPr>
        <w:pStyle w:val="a8"/>
        <w:ind w:firstLine="420"/>
        <w:jc w:val="right"/>
      </w:pPr>
      <w:r w:rsidRPr="00DC349B">
        <w:rPr>
          <w:rFonts w:hint="eastAsia"/>
        </w:rPr>
        <w:t>鹏扬基金管理有限公司</w:t>
      </w:r>
    </w:p>
    <w:p w:rsidR="00C107DC" w:rsidRPr="00DC349B" w:rsidRDefault="00C107DC" w:rsidP="00DC349B">
      <w:pPr>
        <w:pStyle w:val="a8"/>
        <w:ind w:firstLine="420"/>
        <w:jc w:val="right"/>
      </w:pPr>
      <w:r w:rsidRPr="00DC349B">
        <w:rPr>
          <w:rFonts w:hint="eastAsia"/>
        </w:rPr>
        <w:t>2024年3月8日</w:t>
      </w:r>
      <w:bookmarkEnd w:id="0"/>
    </w:p>
    <w:sectPr w:rsidR="00C107DC" w:rsidRPr="00DC349B" w:rsidSect="00947BB3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7C" w:rsidRDefault="008C227C" w:rsidP="00426411">
      <w:r>
        <w:separator/>
      </w:r>
    </w:p>
  </w:endnote>
  <w:endnote w:type="continuationSeparator" w:id="0">
    <w:p w:rsidR="008C227C" w:rsidRDefault="008C227C" w:rsidP="004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DC" w:rsidRDefault="00C107DC" w:rsidP="00C107DC">
    <w:pPr>
      <w:pStyle w:val="a4"/>
      <w:jc w:val="center"/>
    </w:pPr>
    <w:r w:rsidRPr="00C107DC">
      <w:rPr>
        <w:rFonts w:hint="eastAsia"/>
      </w:rPr>
      <w:t>第</w:t>
    </w:r>
    <w:r w:rsidR="003F2CE5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3F2CE5">
      <w:fldChar w:fldCharType="separate"/>
    </w:r>
    <w:r w:rsidR="00AB20B0">
      <w:rPr>
        <w:noProof/>
      </w:rPr>
      <w:t>1</w:t>
    </w:r>
    <w:r w:rsidR="003F2CE5">
      <w:fldChar w:fldCharType="end"/>
    </w:r>
    <w:r w:rsidRPr="00C107DC">
      <w:rPr>
        <w:rFonts w:hint="eastAsia"/>
      </w:rPr>
      <w:t>页</w:t>
    </w:r>
    <w:r w:rsidRPr="00C107DC">
      <w:rPr>
        <w:rFonts w:hint="eastAsia"/>
      </w:rPr>
      <w:t xml:space="preserve"> </w:t>
    </w:r>
    <w:r w:rsidRPr="00C107DC">
      <w:rPr>
        <w:rFonts w:hint="eastAsia"/>
      </w:rPr>
      <w:t>共</w:t>
    </w:r>
    <w:fldSimple w:instr=" NUMPAGES   \* MERGEFORMAT ">
      <w:r w:rsidR="00AB20B0">
        <w:rPr>
          <w:noProof/>
        </w:rPr>
        <w:t>2</w:t>
      </w:r>
    </w:fldSimple>
    <w:r w:rsidRPr="00C107DC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7C" w:rsidRDefault="008C227C" w:rsidP="00426411">
      <w:r>
        <w:separator/>
      </w:r>
    </w:p>
  </w:footnote>
  <w:footnote w:type="continuationSeparator" w:id="0">
    <w:p w:rsidR="008C227C" w:rsidRDefault="008C227C" w:rsidP="0042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6A" w:rsidRDefault="004035D8">
    <w:pPr>
      <w:pBdr>
        <w:between w:val="single" w:sz="3" w:space="0" w:color="000000"/>
      </w:pBdr>
      <w:jc w:val="right"/>
    </w:pPr>
    <w:r>
      <w:rPr>
        <w:rFonts w:hAnsi="宋体" w:hint="eastAsia"/>
        <w:bCs/>
        <w:color w:val="000000"/>
        <w:sz w:val="18"/>
        <w:szCs w:val="18"/>
      </w:rPr>
      <w:t>鹏扬淳开债券型证券投资基金恢复大额申购（含转换转入、定期定额投资）业务的公告</w:t>
    </w:r>
  </w:p>
  <w:p w:rsidR="00965F6A" w:rsidRDefault="00965F6A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9A3"/>
    <w:multiLevelType w:val="hybridMultilevel"/>
    <w:tmpl w:val="25B86EF4"/>
    <w:lvl w:ilvl="0" w:tplc="0409000F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B2AD6"/>
    <w:multiLevelType w:val="multilevel"/>
    <w:tmpl w:val="37AE69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36714E"/>
    <w:multiLevelType w:val="hybridMultilevel"/>
    <w:tmpl w:val="2898C116"/>
    <w:lvl w:ilvl="0" w:tplc="9156F36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68A"/>
    <w:rsid w:val="00034151"/>
    <w:rsid w:val="000465BE"/>
    <w:rsid w:val="0005575C"/>
    <w:rsid w:val="000873D4"/>
    <w:rsid w:val="000A27E1"/>
    <w:rsid w:val="000E6C0C"/>
    <w:rsid w:val="00166BB5"/>
    <w:rsid w:val="00174082"/>
    <w:rsid w:val="00195C8F"/>
    <w:rsid w:val="001F2796"/>
    <w:rsid w:val="0023451A"/>
    <w:rsid w:val="00253457"/>
    <w:rsid w:val="002C40DA"/>
    <w:rsid w:val="002E5986"/>
    <w:rsid w:val="003009B4"/>
    <w:rsid w:val="00313E88"/>
    <w:rsid w:val="00322605"/>
    <w:rsid w:val="003A3C58"/>
    <w:rsid w:val="003A6C48"/>
    <w:rsid w:val="003B7BEB"/>
    <w:rsid w:val="003F2CE5"/>
    <w:rsid w:val="004035D8"/>
    <w:rsid w:val="00426411"/>
    <w:rsid w:val="005C6647"/>
    <w:rsid w:val="005D7362"/>
    <w:rsid w:val="00620D3A"/>
    <w:rsid w:val="00623685"/>
    <w:rsid w:val="0068568A"/>
    <w:rsid w:val="006858D8"/>
    <w:rsid w:val="00694117"/>
    <w:rsid w:val="006A5544"/>
    <w:rsid w:val="00731677"/>
    <w:rsid w:val="00785DAC"/>
    <w:rsid w:val="007E74F8"/>
    <w:rsid w:val="00825FAD"/>
    <w:rsid w:val="00827549"/>
    <w:rsid w:val="0083057E"/>
    <w:rsid w:val="00852BDE"/>
    <w:rsid w:val="0088540A"/>
    <w:rsid w:val="00885CEF"/>
    <w:rsid w:val="008C227C"/>
    <w:rsid w:val="008C57FA"/>
    <w:rsid w:val="008D4E8A"/>
    <w:rsid w:val="009172BE"/>
    <w:rsid w:val="00947BB3"/>
    <w:rsid w:val="00965F6A"/>
    <w:rsid w:val="00966955"/>
    <w:rsid w:val="009D08BB"/>
    <w:rsid w:val="00A15FEE"/>
    <w:rsid w:val="00A97F5C"/>
    <w:rsid w:val="00AB20B0"/>
    <w:rsid w:val="00AC4D1F"/>
    <w:rsid w:val="00B1701C"/>
    <w:rsid w:val="00C01F4A"/>
    <w:rsid w:val="00C107DC"/>
    <w:rsid w:val="00C43BED"/>
    <w:rsid w:val="00C77B84"/>
    <w:rsid w:val="00CA7993"/>
    <w:rsid w:val="00D64DF6"/>
    <w:rsid w:val="00D82785"/>
    <w:rsid w:val="00D91205"/>
    <w:rsid w:val="00DA2749"/>
    <w:rsid w:val="00DC349B"/>
    <w:rsid w:val="00E01C9B"/>
    <w:rsid w:val="00E250FD"/>
    <w:rsid w:val="00E33A18"/>
    <w:rsid w:val="00E942A7"/>
    <w:rsid w:val="00EA2AD0"/>
    <w:rsid w:val="00EF3257"/>
    <w:rsid w:val="00F21E20"/>
    <w:rsid w:val="00F55506"/>
    <w:rsid w:val="00F74790"/>
    <w:rsid w:val="00F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623685"/>
    <w:pPr>
      <w:widowControl w:val="0"/>
      <w:jc w:val="both"/>
    </w:pPr>
    <w:rPr>
      <w:rFonts w:ascii="宋体" w:eastAsia="宋体"/>
    </w:rPr>
  </w:style>
  <w:style w:type="paragraph" w:styleId="1">
    <w:name w:val="heading 1"/>
    <w:basedOn w:val="a"/>
    <w:next w:val="a"/>
    <w:link w:val="1Char"/>
    <w:uiPriority w:val="9"/>
    <w:qFormat/>
    <w:rsid w:val="00623685"/>
    <w:pPr>
      <w:keepNext/>
      <w:keepLines/>
      <w:numPr>
        <w:numId w:val="2"/>
      </w:numPr>
      <w:spacing w:beforeLines="50" w:afterLines="50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7E74F8"/>
    <w:pPr>
      <w:keepNext/>
      <w:keepLines/>
      <w:numPr>
        <w:numId w:val="3"/>
      </w:numPr>
      <w:spacing w:before="260" w:after="260" w:line="416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74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/>
      <w:szCs w:val="18"/>
    </w:rPr>
  </w:style>
  <w:style w:type="character" w:customStyle="1" w:styleId="Char">
    <w:name w:val="页眉 Char"/>
    <w:basedOn w:val="a0"/>
    <w:link w:val="a3"/>
    <w:uiPriority w:val="99"/>
    <w:rsid w:val="00426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411"/>
    <w:pPr>
      <w:tabs>
        <w:tab w:val="center" w:pos="4153"/>
        <w:tab w:val="right" w:pos="8306"/>
      </w:tabs>
      <w:snapToGrid w:val="0"/>
      <w:jc w:val="left"/>
    </w:pPr>
    <w:rPr>
      <w:rFonts w:asciiTheme="minorHAnsi"/>
      <w:szCs w:val="18"/>
    </w:rPr>
  </w:style>
  <w:style w:type="character" w:customStyle="1" w:styleId="Char0">
    <w:name w:val="页脚 Char"/>
    <w:basedOn w:val="a0"/>
    <w:link w:val="a4"/>
    <w:uiPriority w:val="99"/>
    <w:rsid w:val="004264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3685"/>
    <w:rPr>
      <w:rFonts w:ascii="宋体" w:eastAsia="宋体"/>
      <w:b/>
      <w:bCs/>
      <w:kern w:val="44"/>
      <w:sz w:val="28"/>
      <w:szCs w:val="44"/>
    </w:rPr>
  </w:style>
  <w:style w:type="character" w:styleId="a5">
    <w:name w:val="footnote reference"/>
    <w:rsid w:val="00426411"/>
    <w:rPr>
      <w:vertAlign w:val="superscript"/>
    </w:rPr>
  </w:style>
  <w:style w:type="paragraph" w:styleId="a6">
    <w:name w:val="footnote text"/>
    <w:basedOn w:val="a"/>
    <w:link w:val="Char1"/>
    <w:rsid w:val="00426411"/>
    <w:pPr>
      <w:snapToGrid w:val="0"/>
      <w:jc w:val="left"/>
    </w:pPr>
  </w:style>
  <w:style w:type="character" w:customStyle="1" w:styleId="Char1">
    <w:name w:val="脚注文本 Char"/>
    <w:basedOn w:val="a0"/>
    <w:link w:val="a6"/>
    <w:rsid w:val="00426411"/>
    <w:rPr>
      <w:rFonts w:ascii="Times New Roman" w:eastAsia="宋体" w:hAnsi="Times New Roman" w:cs="Times New Roman"/>
      <w:sz w:val="18"/>
      <w:szCs w:val="20"/>
    </w:rPr>
  </w:style>
  <w:style w:type="paragraph" w:styleId="TOC">
    <w:name w:val="TOC Heading"/>
    <w:basedOn w:val="1"/>
    <w:next w:val="a"/>
    <w:uiPriority w:val="39"/>
    <w:unhideWhenUsed/>
    <w:rsid w:val="00C77B84"/>
    <w:pPr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77B84"/>
  </w:style>
  <w:style w:type="character" w:styleId="a7">
    <w:name w:val="Hyperlink"/>
    <w:basedOn w:val="a0"/>
    <w:uiPriority w:val="99"/>
    <w:unhideWhenUsed/>
    <w:rsid w:val="00C77B84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620D3A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620D3A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620D3A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620D3A"/>
    <w:rPr>
      <w:rFonts w:ascii="宋体" w:eastAsia="宋体" w:hAnsi="宋体" w:cs="宋体"/>
      <w:bCs/>
      <w:sz w:val="32"/>
      <w:szCs w:val="24"/>
    </w:rPr>
  </w:style>
  <w:style w:type="paragraph" w:styleId="a8">
    <w:name w:val="Normal Indent"/>
    <w:qFormat/>
    <w:rsid w:val="00623685"/>
    <w:pPr>
      <w:spacing w:line="360" w:lineRule="auto"/>
      <w:ind w:firstLineChars="200" w:firstLine="200"/>
    </w:pPr>
    <w:rPr>
      <w:rFonts w:ascii="宋体" w:eastAsia="宋体"/>
    </w:rPr>
  </w:style>
  <w:style w:type="table" w:styleId="a9">
    <w:name w:val="Table Grid"/>
    <w:basedOn w:val="a1"/>
    <w:uiPriority w:val="39"/>
    <w:rsid w:val="006A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08D1831-9187-4A55-A4BE-EC254109A9DC}">
  <ds:schemaRefs>
    <ds:schemaRef ds:uri="http://schemas.openxmlformats.org/drawingml/2006/lockedCanvas"/>
    <ds:schemaRef ds:uri="http://schemas.openxmlformats.org/drawingml/2006/compatibility"/>
    <ds:schemaRef ds:uri="http://schemas.microsoft.com/office/word/2010/wordprocessingDrawing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4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dcterms:created xsi:type="dcterms:W3CDTF">2024-03-07T16:01:00Z</dcterms:created>
  <dcterms:modified xsi:type="dcterms:W3CDTF">2024-03-07T16:01:00Z</dcterms:modified>
</cp:coreProperties>
</file>